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43" w:rsidRDefault="00E97843" w:rsidP="007469A3">
      <w:pPr>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商务局</w:t>
      </w:r>
      <w:r>
        <w:rPr>
          <w:rFonts w:ascii="宋体" w:hAnsi="宋体"/>
          <w:b/>
          <w:sz w:val="44"/>
          <w:szCs w:val="44"/>
        </w:rPr>
        <w:t>2019</w:t>
      </w:r>
      <w:r>
        <w:rPr>
          <w:rFonts w:ascii="宋体" w:hAnsi="宋体" w:hint="eastAsia"/>
          <w:b/>
          <w:sz w:val="44"/>
          <w:szCs w:val="44"/>
        </w:rPr>
        <w:t>年</w:t>
      </w:r>
      <w:r w:rsidRPr="00F50E15">
        <w:rPr>
          <w:rFonts w:ascii="宋体" w:hAnsi="宋体" w:hint="eastAsia"/>
          <w:b/>
          <w:sz w:val="44"/>
          <w:szCs w:val="44"/>
        </w:rPr>
        <w:t>部门预算信息公开</w:t>
      </w:r>
      <w:r>
        <w:rPr>
          <w:rFonts w:ascii="宋体" w:hAnsi="宋体"/>
          <w:b/>
          <w:sz w:val="44"/>
          <w:szCs w:val="44"/>
        </w:rPr>
        <w:t xml:space="preserve"> </w:t>
      </w:r>
    </w:p>
    <w:p w:rsidR="00E97843" w:rsidRPr="00F50E15" w:rsidRDefault="00E97843" w:rsidP="00F50E15">
      <w:pPr>
        <w:ind w:firstLineChars="200" w:firstLine="883"/>
        <w:jc w:val="center"/>
        <w:rPr>
          <w:rFonts w:ascii="宋体"/>
          <w:b/>
          <w:sz w:val="44"/>
          <w:szCs w:val="44"/>
        </w:rPr>
      </w:pPr>
    </w:p>
    <w:p w:rsidR="00E97843" w:rsidRPr="00AA71ED" w:rsidRDefault="00E97843" w:rsidP="00F66032">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商务局</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部门预算公开如下：</w:t>
      </w:r>
      <w:r>
        <w:rPr>
          <w:rFonts w:ascii="仿宋" w:eastAsia="仿宋" w:hAnsi="仿宋"/>
          <w:sz w:val="32"/>
          <w:szCs w:val="32"/>
        </w:rPr>
        <w:t xml:space="preserve"> </w:t>
      </w:r>
    </w:p>
    <w:p w:rsidR="00E97843" w:rsidRPr="00C24BF5" w:rsidRDefault="00E97843"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E97843" w:rsidRDefault="00E97843" w:rsidP="00A34D76">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（一）贯彻执行国家和省、市对外贸易、国际经济合作和招商引资的发展战略、方针、政策和规章制度；拟定符合我县实际的发展规划及规定、办法和措施。</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二）贯彻执行国家有关对外开放、招商引资等方面的法律法规和方针政策；拟定并实施全县外商投资政策和改革方案，指导全县外商投资工作；参与拟定全县利用外资的中长期规划；负责全县鼓励类、允许类外商投资限额以下项目、合同章程及其变更事项的审批；负责国家规定的限额以上、限制投资、特殊行业和涉及配额、许可证管理的外商投资企业的设立及其变更事项的审核上报工作；监督外商投资企业执行有关法律法规、规章及合同、章程的情况；指导和管理全县招商引资、投资促进和进出口工作，综合协调和指导我县经济技术开发区及各工业园区建设的有关具体工作；负责全县利用外资和外资企业生产经营情况的统计，负责全县外商投资企业进出口产品配额及许可证的申报和管理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（三）审核或核准县内企业对外投资开办企业（金融企业除外）和境外带料加工贸易并实施监督管理；负责外国和香港、澳门特别行政区及台湾常驻我县商务代表机构的设立、申报和管理工作。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（四）指导监督以香河县名义在境内举办的各种外经贸交易会、展览会、展销会等活动。拟定并实施赴境外举办上述活动的管理办法。</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（五）执行国家制定的进出口商品管理办法、进出口商品目录和进出口商品配额招标政策；负责进出口配额计划的编报、组织实施及配额、许可证管理工作。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六）拟定和推进全县科技兴贸战略，贯彻执行国家对外技术贸易、进出口管制及鼓励技术和成套设备出口政策；推进进出口贸易标准化体系建设；依法监督技术引进、设备进口、国家限制出口的技术和引进技术的出口与再出口工作；负责申报与防扩散相关的出口许可证的管理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七）贯彻执行国家机电产品进出口战略的方针、政策；拟定和执行全县机电产品进出口中长期发展规划、年度指导性计划；制定全县进出口机电产品招标规则和管理办法并组织实施；依法监督进出口机电设备采购项目招标活动，承办从事与工程建设有关的进出口机电设备采购招标代理业务的招标代理机构资格初审；管理设备进口和国际招标。</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八）负责全县商务系统涉及世界贸易组织相关事务的研究、指导和服务工作；组织协调反倾销、反补贴、保障措施及其他与进出口公平贸易相关的工作，建立进出口公平贸易预警机制；组织全县产业损害调查；指导协调国外对我县出口商品的反倾销、反补贴、保障措施的应诉及相关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（九）研究提出流通体制改革意见，培育发展城乡市场、推进流通产业结构调整和连锁经营、物流配送、电子商务等现代流通方式。</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十）研究拟定全县规范流通领域市场体系及流通秩序和打破市场垄断、地区封锁的政策，建立健全统一、开放、竞争、有序的市场体系，维护行业公平竞争秩序；监测分析市场运行和商品供求状况，组织实施重要消费品市场调控和重要生产资料流通管理。</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十一）调查研究全县商品流通和物资流通行业重大问题，提出政策性建议；负责畜禽定点屠宰、酒类专卖、化学危险品经营和拍卖、典当行业的监督管理；负责批发、零售、餐饮、住宿等行业管理；负责重要商品和生产资料经营资格的审查工作；协同有关部门负责民爆器材的经营性管理工作；承办全县老旧汽车更新工作；指导全县贸易及物资系统安全生产管理工作。</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（十二）负责全县对外贸易新闻发布会、宣传工作和提供信息咨询服务；指导全县对外贸易流通领域信息网络和电子商务建设。</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（十三）按规定对成品油流通进行监督管理。</w:t>
      </w:r>
    </w:p>
    <w:p w:rsidR="00E97843" w:rsidRDefault="00E97843" w:rsidP="00A0035E">
      <w:pPr>
        <w:ind w:firstLine="640"/>
        <w:rPr>
          <w:rFonts w:ascii="仿宋" w:eastAsia="仿宋" w:hAnsi="仿宋"/>
          <w:sz w:val="32"/>
          <w:szCs w:val="32"/>
        </w:rPr>
      </w:pPr>
      <w:r>
        <w:rPr>
          <w:rFonts w:ascii="仿宋" w:eastAsia="仿宋" w:hAnsi="仿宋" w:hint="eastAsia"/>
          <w:sz w:val="32"/>
          <w:szCs w:val="32"/>
        </w:rPr>
        <w:t>（十四）承办县政府交办的其他事项。</w:t>
      </w:r>
    </w:p>
    <w:p w:rsidR="00E97843" w:rsidRPr="0091236C" w:rsidRDefault="00E97843" w:rsidP="00223272">
      <w:pPr>
        <w:ind w:firstLineChars="200" w:firstLine="640"/>
        <w:rPr>
          <w:rFonts w:ascii="仿宋" w:eastAsia="仿宋" w:hAnsi="仿宋"/>
          <w:color w:val="FF0000"/>
          <w:sz w:val="32"/>
          <w:szCs w:val="32"/>
        </w:rPr>
      </w:pPr>
    </w:p>
    <w:p w:rsidR="00E97843" w:rsidRPr="004F6123" w:rsidRDefault="00E97843" w:rsidP="004F6123">
      <w:pPr>
        <w:ind w:firstLineChars="200" w:firstLine="643"/>
        <w:rPr>
          <w:rFonts w:ascii="仿宋" w:eastAsia="仿宋" w:hAnsi="仿宋"/>
          <w:b/>
          <w:sz w:val="32"/>
          <w:szCs w:val="32"/>
        </w:rPr>
      </w:pPr>
      <w:r w:rsidRPr="004F6123">
        <w:rPr>
          <w:rFonts w:ascii="仿宋" w:eastAsia="仿宋" w:hAnsi="仿宋" w:hint="eastAsia"/>
          <w:b/>
          <w:sz w:val="32"/>
          <w:szCs w:val="32"/>
        </w:rPr>
        <w:t>机构设置：</w:t>
      </w:r>
    </w:p>
    <w:p w:rsidR="00E97843" w:rsidRDefault="00E97843" w:rsidP="00A0035E">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E97843" w:rsidTr="009D7B23">
        <w:trPr>
          <w:trHeight w:val="300"/>
          <w:tblHeader/>
          <w:jc w:val="center"/>
        </w:trPr>
        <w:tc>
          <w:tcPr>
            <w:tcW w:w="4443" w:type="dxa"/>
            <w:vMerge w:val="restart"/>
            <w:vAlign w:val="center"/>
          </w:tcPr>
          <w:p w:rsidR="00E97843" w:rsidRDefault="00E97843" w:rsidP="009D7B2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E97843" w:rsidRDefault="00E97843" w:rsidP="009D7B2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E97843" w:rsidRDefault="00E97843" w:rsidP="009D7B2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E97843" w:rsidRDefault="00E97843" w:rsidP="009D7B2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E97843" w:rsidTr="009D7B23">
        <w:trPr>
          <w:trHeight w:val="300"/>
          <w:tblHeader/>
          <w:jc w:val="center"/>
        </w:trPr>
        <w:tc>
          <w:tcPr>
            <w:tcW w:w="4443" w:type="dxa"/>
            <w:vMerge/>
            <w:vAlign w:val="center"/>
          </w:tcPr>
          <w:p w:rsidR="00E97843" w:rsidRDefault="00E97843" w:rsidP="009D7B23">
            <w:pPr>
              <w:spacing w:line="300" w:lineRule="exact"/>
              <w:jc w:val="left"/>
              <w:outlineLvl w:val="0"/>
              <w:rPr>
                <w:rFonts w:ascii="Times New Roman" w:hAnsi="Times New Roman"/>
                <w:szCs w:val="24"/>
              </w:rPr>
            </w:pPr>
          </w:p>
        </w:tc>
        <w:tc>
          <w:tcPr>
            <w:tcW w:w="1134" w:type="dxa"/>
            <w:vMerge/>
            <w:vAlign w:val="center"/>
          </w:tcPr>
          <w:p w:rsidR="00E97843" w:rsidRDefault="00E97843" w:rsidP="009D7B23">
            <w:pPr>
              <w:spacing w:line="300" w:lineRule="exact"/>
              <w:jc w:val="left"/>
              <w:outlineLvl w:val="0"/>
              <w:rPr>
                <w:rFonts w:ascii="Times New Roman" w:hAnsi="Times New Roman"/>
                <w:szCs w:val="24"/>
              </w:rPr>
            </w:pPr>
          </w:p>
        </w:tc>
        <w:tc>
          <w:tcPr>
            <w:tcW w:w="1276" w:type="dxa"/>
            <w:vMerge/>
            <w:vAlign w:val="center"/>
          </w:tcPr>
          <w:p w:rsidR="00E97843" w:rsidRDefault="00E97843" w:rsidP="009D7B23">
            <w:pPr>
              <w:spacing w:line="300" w:lineRule="exact"/>
              <w:jc w:val="left"/>
              <w:outlineLvl w:val="0"/>
              <w:rPr>
                <w:rFonts w:ascii="Times New Roman" w:hAnsi="Times New Roman"/>
                <w:szCs w:val="24"/>
              </w:rPr>
            </w:pPr>
          </w:p>
        </w:tc>
        <w:tc>
          <w:tcPr>
            <w:tcW w:w="2902" w:type="dxa"/>
            <w:vMerge/>
            <w:vAlign w:val="center"/>
          </w:tcPr>
          <w:p w:rsidR="00E97843" w:rsidRDefault="00E97843" w:rsidP="009D7B23">
            <w:pPr>
              <w:spacing w:line="300" w:lineRule="exact"/>
              <w:jc w:val="left"/>
              <w:outlineLvl w:val="0"/>
              <w:rPr>
                <w:rFonts w:ascii="Times New Roman" w:hAnsi="Times New Roman"/>
                <w:szCs w:val="24"/>
              </w:rPr>
            </w:pPr>
          </w:p>
        </w:tc>
      </w:tr>
      <w:tr w:rsidR="00E97843" w:rsidTr="009D7B23">
        <w:trPr>
          <w:trHeight w:val="227"/>
          <w:jc w:val="center"/>
        </w:trPr>
        <w:tc>
          <w:tcPr>
            <w:tcW w:w="4443" w:type="dxa"/>
            <w:vAlign w:val="center"/>
          </w:tcPr>
          <w:p w:rsidR="00E97843" w:rsidRDefault="00E97843" w:rsidP="009D7B23">
            <w:pPr>
              <w:spacing w:line="300" w:lineRule="exact"/>
              <w:jc w:val="left"/>
              <w:rPr>
                <w:rFonts w:ascii="Times New Roman" w:eastAsia="方正书宋_GBK" w:hAnsi="Times New Roman"/>
                <w:szCs w:val="24"/>
              </w:rPr>
            </w:pPr>
            <w:r>
              <w:rPr>
                <w:rFonts w:ascii="Times New Roman" w:eastAsia="方正书宋_GBK" w:hAnsi="Times New Roman" w:hint="eastAsia"/>
                <w:szCs w:val="24"/>
              </w:rPr>
              <w:t>香河县商务局</w:t>
            </w:r>
          </w:p>
        </w:tc>
        <w:tc>
          <w:tcPr>
            <w:tcW w:w="1134" w:type="dxa"/>
            <w:vAlign w:val="center"/>
          </w:tcPr>
          <w:p w:rsidR="00E97843" w:rsidRDefault="00E97843" w:rsidP="009D7B23">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E97843" w:rsidRDefault="00E97843" w:rsidP="009D7B23">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E97843" w:rsidRDefault="00E97843" w:rsidP="00E62C34">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E97843" w:rsidTr="009D7B23">
        <w:trPr>
          <w:trHeight w:val="227"/>
          <w:jc w:val="center"/>
        </w:trPr>
        <w:tc>
          <w:tcPr>
            <w:tcW w:w="4443" w:type="dxa"/>
            <w:vAlign w:val="center"/>
          </w:tcPr>
          <w:p w:rsidR="00E97843" w:rsidRDefault="00E97843" w:rsidP="009D7B23">
            <w:pPr>
              <w:spacing w:line="300" w:lineRule="exact"/>
              <w:jc w:val="left"/>
              <w:rPr>
                <w:rFonts w:ascii="Times New Roman" w:eastAsia="方正书宋_GBK" w:hAnsi="Times New Roman"/>
                <w:szCs w:val="24"/>
              </w:rPr>
            </w:pPr>
          </w:p>
        </w:tc>
        <w:tc>
          <w:tcPr>
            <w:tcW w:w="1134" w:type="dxa"/>
            <w:vAlign w:val="center"/>
          </w:tcPr>
          <w:p w:rsidR="00E97843" w:rsidRDefault="00E97843" w:rsidP="009D7B23">
            <w:pPr>
              <w:spacing w:line="300" w:lineRule="exact"/>
              <w:jc w:val="left"/>
              <w:rPr>
                <w:rFonts w:ascii="Times New Roman" w:eastAsia="方正书宋_GBK" w:hAnsi="Times New Roman"/>
                <w:szCs w:val="24"/>
              </w:rPr>
            </w:pPr>
          </w:p>
        </w:tc>
        <w:tc>
          <w:tcPr>
            <w:tcW w:w="1276" w:type="dxa"/>
            <w:vAlign w:val="center"/>
          </w:tcPr>
          <w:p w:rsidR="00E97843" w:rsidRDefault="00E97843" w:rsidP="009D7B23">
            <w:pPr>
              <w:spacing w:line="300" w:lineRule="exact"/>
              <w:jc w:val="left"/>
              <w:rPr>
                <w:rFonts w:ascii="Times New Roman" w:eastAsia="方正书宋_GBK" w:hAnsi="Times New Roman"/>
                <w:szCs w:val="24"/>
              </w:rPr>
            </w:pPr>
          </w:p>
        </w:tc>
        <w:tc>
          <w:tcPr>
            <w:tcW w:w="2902" w:type="dxa"/>
            <w:vAlign w:val="center"/>
          </w:tcPr>
          <w:p w:rsidR="00E97843" w:rsidRDefault="00E97843" w:rsidP="009D7B23">
            <w:pPr>
              <w:spacing w:line="300" w:lineRule="exact"/>
              <w:jc w:val="left"/>
              <w:rPr>
                <w:rFonts w:ascii="Times New Roman" w:eastAsia="方正书宋_GBK" w:hAnsi="Times New Roman"/>
                <w:szCs w:val="24"/>
              </w:rPr>
            </w:pPr>
          </w:p>
        </w:tc>
      </w:tr>
      <w:tr w:rsidR="00E97843" w:rsidTr="009D7B23">
        <w:trPr>
          <w:trHeight w:val="227"/>
          <w:jc w:val="center"/>
        </w:trPr>
        <w:tc>
          <w:tcPr>
            <w:tcW w:w="4443" w:type="dxa"/>
            <w:vAlign w:val="center"/>
          </w:tcPr>
          <w:p w:rsidR="00E97843" w:rsidRDefault="00E97843" w:rsidP="009D7B23">
            <w:pPr>
              <w:spacing w:line="300" w:lineRule="exact"/>
              <w:jc w:val="left"/>
              <w:rPr>
                <w:rFonts w:ascii="Times New Roman" w:eastAsia="方正书宋_GBK" w:hAnsi="Times New Roman"/>
                <w:szCs w:val="24"/>
              </w:rPr>
            </w:pPr>
          </w:p>
        </w:tc>
        <w:tc>
          <w:tcPr>
            <w:tcW w:w="1134" w:type="dxa"/>
            <w:vAlign w:val="center"/>
          </w:tcPr>
          <w:p w:rsidR="00E97843" w:rsidRDefault="00E97843" w:rsidP="009D7B23">
            <w:pPr>
              <w:spacing w:line="300" w:lineRule="exact"/>
              <w:jc w:val="left"/>
              <w:rPr>
                <w:rFonts w:ascii="Times New Roman" w:eastAsia="方正书宋_GBK" w:hAnsi="Times New Roman"/>
                <w:szCs w:val="24"/>
              </w:rPr>
            </w:pPr>
          </w:p>
        </w:tc>
        <w:tc>
          <w:tcPr>
            <w:tcW w:w="1276" w:type="dxa"/>
            <w:vAlign w:val="center"/>
          </w:tcPr>
          <w:p w:rsidR="00E97843" w:rsidRDefault="00E97843" w:rsidP="009D7B23">
            <w:pPr>
              <w:spacing w:line="300" w:lineRule="exact"/>
              <w:jc w:val="left"/>
              <w:rPr>
                <w:rFonts w:ascii="Times New Roman" w:eastAsia="方正书宋_GBK" w:hAnsi="Times New Roman"/>
                <w:szCs w:val="24"/>
              </w:rPr>
            </w:pPr>
          </w:p>
        </w:tc>
        <w:tc>
          <w:tcPr>
            <w:tcW w:w="2902" w:type="dxa"/>
            <w:vAlign w:val="center"/>
          </w:tcPr>
          <w:p w:rsidR="00E97843" w:rsidRDefault="00E97843" w:rsidP="009D7B23">
            <w:pPr>
              <w:spacing w:line="300" w:lineRule="exact"/>
              <w:jc w:val="left"/>
              <w:rPr>
                <w:rFonts w:ascii="Times New Roman" w:eastAsia="方正书宋_GBK" w:hAnsi="Times New Roman"/>
                <w:szCs w:val="24"/>
              </w:rPr>
            </w:pPr>
          </w:p>
        </w:tc>
      </w:tr>
    </w:tbl>
    <w:p w:rsidR="00E97843" w:rsidRDefault="00E97843" w:rsidP="00A0035E">
      <w:pPr>
        <w:ind w:firstLine="640"/>
        <w:rPr>
          <w:rFonts w:ascii="黑体" w:eastAsia="黑体" w:hAnsi="黑体"/>
          <w:sz w:val="32"/>
          <w:szCs w:val="32"/>
        </w:rPr>
      </w:pPr>
    </w:p>
    <w:p w:rsidR="00E97843" w:rsidRPr="002D1476" w:rsidRDefault="00E97843" w:rsidP="002D1476">
      <w:pPr>
        <w:jc w:val="left"/>
        <w:outlineLvl w:val="0"/>
        <w:rPr>
          <w:rFonts w:ascii="仿宋" w:eastAsia="仿宋" w:hAnsi="仿宋"/>
          <w:sz w:val="32"/>
          <w:szCs w:val="24"/>
        </w:rPr>
      </w:pPr>
    </w:p>
    <w:p w:rsidR="00E97843" w:rsidRPr="00C24BF5" w:rsidRDefault="00E97843" w:rsidP="007E1DA8">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E97843" w:rsidRPr="00AA71ED" w:rsidRDefault="00E97843" w:rsidP="002D1476">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E97843" w:rsidRPr="00093D80" w:rsidRDefault="00E97843"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E97843" w:rsidRDefault="00E97843" w:rsidP="00776C08">
      <w:pPr>
        <w:ind w:firstLine="640"/>
        <w:rPr>
          <w:rFonts w:ascii="仿宋" w:eastAsia="仿宋" w:hAnsi="仿宋"/>
          <w:sz w:val="32"/>
          <w:szCs w:val="32"/>
        </w:rPr>
      </w:pPr>
      <w:r w:rsidRPr="00AA71ED">
        <w:rPr>
          <w:rFonts w:ascii="仿宋" w:eastAsia="仿宋" w:hAnsi="仿宋" w:hint="eastAsia"/>
          <w:sz w:val="32"/>
          <w:szCs w:val="32"/>
        </w:rPr>
        <w:t>反映本部门当年全部收入。</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预算收入</w:t>
      </w:r>
      <w:r>
        <w:rPr>
          <w:rFonts w:ascii="仿宋" w:eastAsia="仿宋" w:hAnsi="仿宋" w:hint="eastAsia"/>
          <w:sz w:val="32"/>
          <w:szCs w:val="32"/>
        </w:rPr>
        <w:t>总额</w:t>
      </w:r>
      <w:r>
        <w:rPr>
          <w:rFonts w:ascii="仿宋" w:eastAsia="仿宋" w:hAnsi="仿宋"/>
          <w:sz w:val="32"/>
          <w:szCs w:val="32"/>
        </w:rPr>
        <w:t>3873.03</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Pr>
          <w:rFonts w:ascii="仿宋" w:eastAsia="仿宋" w:hAnsi="仿宋"/>
          <w:sz w:val="32"/>
          <w:szCs w:val="32"/>
        </w:rPr>
        <w:t>3873.03</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Pr>
          <w:rFonts w:ascii="仿宋" w:eastAsia="仿宋" w:hAnsi="仿宋"/>
          <w:sz w:val="32"/>
          <w:szCs w:val="32"/>
        </w:rPr>
        <w:t>3873.03</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E97843" w:rsidRPr="00093D80" w:rsidRDefault="00E97843"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E97843" w:rsidRPr="00AA71ED" w:rsidRDefault="00E97843" w:rsidP="00776C08">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商务局</w:t>
      </w:r>
      <w:r w:rsidRPr="00AA71ED">
        <w:rPr>
          <w:rFonts w:ascii="仿宋" w:eastAsia="仿宋" w:hAnsi="仿宋" w:hint="eastAsia"/>
          <w:sz w:val="32"/>
          <w:szCs w:val="32"/>
        </w:rPr>
        <w:t>年度部门预算中支出预算的总体情况。</w:t>
      </w: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支出预算</w:t>
      </w:r>
      <w:r>
        <w:rPr>
          <w:rFonts w:ascii="仿宋" w:eastAsia="仿宋" w:hAnsi="仿宋"/>
          <w:sz w:val="32"/>
          <w:szCs w:val="32"/>
        </w:rPr>
        <w:t>3873.03</w:t>
      </w:r>
      <w:r w:rsidRPr="00AA71ED">
        <w:rPr>
          <w:rFonts w:ascii="仿宋" w:eastAsia="仿宋" w:hAnsi="仿宋" w:hint="eastAsia"/>
          <w:sz w:val="32"/>
          <w:szCs w:val="32"/>
        </w:rPr>
        <w:t>万元，其中基本支出</w:t>
      </w:r>
      <w:r w:rsidRPr="0051436D">
        <w:rPr>
          <w:rFonts w:ascii="仿宋" w:eastAsia="仿宋" w:hAnsi="仿宋"/>
          <w:sz w:val="32"/>
          <w:szCs w:val="32"/>
        </w:rPr>
        <w:t>832.25</w:t>
      </w:r>
      <w:r w:rsidRPr="00AA71ED">
        <w:rPr>
          <w:rFonts w:ascii="仿宋" w:eastAsia="仿宋" w:hAnsi="仿宋" w:hint="eastAsia"/>
          <w:sz w:val="32"/>
          <w:szCs w:val="32"/>
        </w:rPr>
        <w:t>万元，包括人员经费</w:t>
      </w:r>
      <w:r w:rsidRPr="0051436D">
        <w:rPr>
          <w:rFonts w:ascii="仿宋" w:eastAsia="仿宋" w:hAnsi="仿宋"/>
          <w:sz w:val="32"/>
          <w:szCs w:val="32"/>
        </w:rPr>
        <w:t>730.71</w:t>
      </w:r>
      <w:r>
        <w:rPr>
          <w:rFonts w:ascii="仿宋" w:eastAsia="仿宋" w:hAnsi="仿宋" w:hint="eastAsia"/>
          <w:sz w:val="32"/>
          <w:szCs w:val="32"/>
        </w:rPr>
        <w:t>万元</w:t>
      </w:r>
      <w:r w:rsidRPr="00AA71ED">
        <w:rPr>
          <w:rFonts w:ascii="仿宋" w:eastAsia="仿宋" w:hAnsi="仿宋" w:hint="eastAsia"/>
          <w:sz w:val="32"/>
          <w:szCs w:val="32"/>
        </w:rPr>
        <w:t>和日常公用经费</w:t>
      </w:r>
      <w:r w:rsidRPr="0051436D">
        <w:rPr>
          <w:rFonts w:ascii="仿宋" w:eastAsia="仿宋" w:hAnsi="仿宋"/>
          <w:sz w:val="32"/>
          <w:szCs w:val="32"/>
        </w:rPr>
        <w:t>101.54</w:t>
      </w:r>
      <w:r>
        <w:rPr>
          <w:rFonts w:ascii="仿宋" w:eastAsia="仿宋" w:hAnsi="仿宋" w:hint="eastAsia"/>
          <w:sz w:val="32"/>
          <w:szCs w:val="32"/>
        </w:rPr>
        <w:t>万元</w:t>
      </w:r>
      <w:r w:rsidRPr="00AA71ED">
        <w:rPr>
          <w:rFonts w:ascii="仿宋" w:eastAsia="仿宋" w:hAnsi="仿宋" w:hint="eastAsia"/>
          <w:sz w:val="32"/>
          <w:szCs w:val="32"/>
        </w:rPr>
        <w:t>；项目支出</w:t>
      </w:r>
      <w:r w:rsidRPr="0051436D">
        <w:rPr>
          <w:rFonts w:ascii="仿宋" w:eastAsia="仿宋" w:hAnsi="仿宋"/>
          <w:sz w:val="32"/>
          <w:szCs w:val="32"/>
        </w:rPr>
        <w:t>3040.78</w:t>
      </w:r>
      <w:r w:rsidRPr="00AA71ED">
        <w:rPr>
          <w:rFonts w:ascii="仿宋" w:eastAsia="仿宋" w:hAnsi="仿宋" w:hint="eastAsia"/>
          <w:sz w:val="32"/>
          <w:szCs w:val="32"/>
        </w:rPr>
        <w:t>万元，包括本级支出</w:t>
      </w:r>
      <w:r w:rsidRPr="0051436D">
        <w:rPr>
          <w:rFonts w:ascii="仿宋" w:eastAsia="仿宋" w:hAnsi="仿宋"/>
          <w:sz w:val="32"/>
          <w:szCs w:val="32"/>
        </w:rPr>
        <w:t>3040.78</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万元，主要为</w:t>
      </w:r>
      <w:r w:rsidRPr="0064384F">
        <w:rPr>
          <w:rFonts w:ascii="仿宋" w:eastAsia="仿宋" w:hAnsi="仿宋" w:hint="eastAsia"/>
          <w:sz w:val="32"/>
          <w:szCs w:val="32"/>
        </w:rPr>
        <w:t>实体经济发展引导基金</w:t>
      </w:r>
      <w:r>
        <w:rPr>
          <w:rFonts w:ascii="仿宋" w:eastAsia="仿宋" w:hAnsi="仿宋" w:hint="eastAsia"/>
          <w:sz w:val="32"/>
          <w:szCs w:val="32"/>
        </w:rPr>
        <w:t>、招商引资、洽谈会</w:t>
      </w:r>
      <w:r w:rsidRPr="00AA71ED">
        <w:rPr>
          <w:rFonts w:ascii="仿宋" w:eastAsia="仿宋" w:hAnsi="仿宋" w:hint="eastAsia"/>
          <w:sz w:val="32"/>
          <w:szCs w:val="32"/>
        </w:rPr>
        <w:t>等；上缴上级支出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w:t>
      </w:r>
    </w:p>
    <w:p w:rsidR="00E97843" w:rsidRPr="00093D80" w:rsidRDefault="00E97843"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E97843" w:rsidRPr="00AA71ED" w:rsidRDefault="00E97843" w:rsidP="00776C08">
      <w:pPr>
        <w:ind w:firstLine="640"/>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预算收支安排</w:t>
      </w:r>
      <w:r>
        <w:rPr>
          <w:rFonts w:ascii="仿宋" w:eastAsia="仿宋" w:hAnsi="仿宋"/>
          <w:sz w:val="32"/>
          <w:szCs w:val="32"/>
        </w:rPr>
        <w:t>3873.03</w:t>
      </w:r>
      <w:r w:rsidRPr="00AA71ED">
        <w:rPr>
          <w:rFonts w:ascii="仿宋" w:eastAsia="仿宋" w:hAnsi="仿宋" w:hint="eastAsia"/>
          <w:sz w:val="32"/>
          <w:szCs w:val="32"/>
        </w:rPr>
        <w:t>万元，较</w:t>
      </w:r>
      <w:r>
        <w:rPr>
          <w:rFonts w:ascii="仿宋" w:eastAsia="仿宋" w:hAnsi="仿宋"/>
          <w:sz w:val="32"/>
          <w:szCs w:val="32"/>
        </w:rPr>
        <w:t>2018</w:t>
      </w:r>
      <w:r>
        <w:rPr>
          <w:rFonts w:ascii="仿宋" w:eastAsia="仿宋" w:hAnsi="仿宋" w:hint="eastAsia"/>
          <w:sz w:val="32"/>
          <w:szCs w:val="32"/>
        </w:rPr>
        <w:t>年</w:t>
      </w:r>
      <w:r w:rsidRPr="00AA71ED">
        <w:rPr>
          <w:rFonts w:ascii="仿宋" w:eastAsia="仿宋" w:hAnsi="仿宋" w:hint="eastAsia"/>
          <w:sz w:val="32"/>
          <w:szCs w:val="32"/>
        </w:rPr>
        <w:t>预算</w:t>
      </w:r>
      <w:r w:rsidRPr="00F97E9E">
        <w:rPr>
          <w:rFonts w:ascii="仿宋" w:eastAsia="仿宋" w:hAnsi="仿宋" w:hint="eastAsia"/>
          <w:sz w:val="32"/>
          <w:szCs w:val="32"/>
        </w:rPr>
        <w:t>增加</w:t>
      </w:r>
      <w:r>
        <w:rPr>
          <w:rFonts w:ascii="仿宋" w:eastAsia="仿宋" w:hAnsi="仿宋"/>
          <w:sz w:val="32"/>
          <w:szCs w:val="32"/>
        </w:rPr>
        <w:t>3062.35</w:t>
      </w:r>
      <w:r w:rsidRPr="00AA71ED">
        <w:rPr>
          <w:rFonts w:ascii="仿宋" w:eastAsia="仿宋" w:hAnsi="仿宋" w:hint="eastAsia"/>
          <w:sz w:val="32"/>
          <w:szCs w:val="32"/>
        </w:rPr>
        <w:t>万元，其中：基本支出</w:t>
      </w:r>
      <w:r w:rsidRPr="00F97E9E">
        <w:rPr>
          <w:rFonts w:ascii="仿宋" w:eastAsia="仿宋" w:hAnsi="仿宋" w:hint="eastAsia"/>
          <w:sz w:val="32"/>
          <w:szCs w:val="32"/>
        </w:rPr>
        <w:t>增加</w:t>
      </w:r>
      <w:r>
        <w:rPr>
          <w:rFonts w:ascii="仿宋" w:eastAsia="仿宋" w:hAnsi="仿宋"/>
          <w:sz w:val="32"/>
          <w:szCs w:val="32"/>
        </w:rPr>
        <w:t>129.38</w:t>
      </w:r>
      <w:r w:rsidRPr="00AA71ED">
        <w:rPr>
          <w:rFonts w:ascii="仿宋" w:eastAsia="仿宋" w:hAnsi="仿宋" w:hint="eastAsia"/>
          <w:sz w:val="32"/>
          <w:szCs w:val="32"/>
        </w:rPr>
        <w:t>万元，主要为</w:t>
      </w:r>
      <w:r w:rsidRPr="00F97E9E">
        <w:rPr>
          <w:rFonts w:ascii="仿宋" w:eastAsia="仿宋" w:hAnsi="仿宋" w:hint="eastAsia"/>
          <w:sz w:val="32"/>
          <w:szCs w:val="32"/>
        </w:rPr>
        <w:t>增加人员经费支出</w:t>
      </w:r>
      <w:r w:rsidRPr="00AA71ED">
        <w:rPr>
          <w:rFonts w:ascii="仿宋" w:eastAsia="仿宋" w:hAnsi="仿宋" w:hint="eastAsia"/>
          <w:sz w:val="32"/>
          <w:szCs w:val="32"/>
        </w:rPr>
        <w:t>；项目支出</w:t>
      </w:r>
      <w:r>
        <w:rPr>
          <w:rFonts w:ascii="仿宋" w:eastAsia="仿宋" w:hAnsi="仿宋" w:hint="eastAsia"/>
          <w:sz w:val="32"/>
          <w:szCs w:val="32"/>
        </w:rPr>
        <w:t>增加</w:t>
      </w:r>
      <w:r>
        <w:rPr>
          <w:rFonts w:ascii="仿宋" w:eastAsia="仿宋" w:hAnsi="仿宋"/>
          <w:sz w:val="32"/>
          <w:szCs w:val="32"/>
        </w:rPr>
        <w:t>2932.97</w:t>
      </w:r>
      <w:r w:rsidRPr="00AA71ED">
        <w:rPr>
          <w:rFonts w:ascii="仿宋" w:eastAsia="仿宋" w:hAnsi="仿宋" w:hint="eastAsia"/>
          <w:sz w:val="32"/>
          <w:szCs w:val="32"/>
        </w:rPr>
        <w:t>万元，主要为</w:t>
      </w:r>
      <w:r w:rsidRPr="0064384F">
        <w:rPr>
          <w:rFonts w:ascii="仿宋" w:eastAsia="仿宋" w:hAnsi="仿宋" w:hint="eastAsia"/>
          <w:sz w:val="32"/>
          <w:szCs w:val="32"/>
        </w:rPr>
        <w:t>实体经济发展引导基金</w:t>
      </w:r>
      <w:r w:rsidRPr="00AA71ED">
        <w:rPr>
          <w:rFonts w:ascii="仿宋" w:eastAsia="仿宋" w:hAnsi="仿宋" w:hint="eastAsia"/>
          <w:sz w:val="32"/>
          <w:szCs w:val="32"/>
        </w:rPr>
        <w:t>项目支出。</w:t>
      </w:r>
    </w:p>
    <w:p w:rsidR="00E97843" w:rsidRPr="0064384F" w:rsidRDefault="00E97843" w:rsidP="00C24BF5">
      <w:pPr>
        <w:ind w:firstLine="640"/>
        <w:rPr>
          <w:rFonts w:ascii="仿宋" w:eastAsia="仿宋" w:hAnsi="仿宋"/>
          <w:sz w:val="32"/>
          <w:szCs w:val="32"/>
        </w:rPr>
      </w:pPr>
      <w:r w:rsidRPr="0064384F">
        <w:rPr>
          <w:rFonts w:ascii="仿宋" w:eastAsia="仿宋" w:hAnsi="仿宋" w:hint="eastAsia"/>
          <w:sz w:val="32"/>
          <w:szCs w:val="32"/>
        </w:rPr>
        <w:t>三、机关运行经费安排情况</w:t>
      </w:r>
    </w:p>
    <w:p w:rsidR="00E97843" w:rsidRPr="00C720E3" w:rsidRDefault="00E97843" w:rsidP="008E4261">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机关运行经费共计安排</w:t>
      </w:r>
      <w:r w:rsidRPr="0051436D">
        <w:rPr>
          <w:rFonts w:ascii="仿宋" w:eastAsia="仿宋" w:hAnsi="仿宋"/>
          <w:sz w:val="32"/>
          <w:szCs w:val="32"/>
        </w:rPr>
        <w:t>101.54</w:t>
      </w:r>
      <w:r w:rsidRPr="00AA71ED">
        <w:rPr>
          <w:rFonts w:ascii="仿宋" w:eastAsia="仿宋" w:hAnsi="仿宋" w:hint="eastAsia"/>
          <w:sz w:val="32"/>
          <w:szCs w:val="32"/>
        </w:rPr>
        <w:t>万元，主要用于办公区的日常维修、办公用房水电费、办公用房取暖费、办公用房物业管理费等日常运行支出。</w:t>
      </w:r>
    </w:p>
    <w:p w:rsidR="00E97843" w:rsidRPr="00C24BF5" w:rsidRDefault="00E97843" w:rsidP="00C24BF5">
      <w:pPr>
        <w:ind w:firstLine="640"/>
        <w:rPr>
          <w:rFonts w:ascii="黑体" w:eastAsia="黑体" w:hAnsi="黑体"/>
          <w:sz w:val="32"/>
          <w:szCs w:val="32"/>
        </w:rPr>
      </w:pPr>
      <w:r w:rsidRPr="00C24BF5">
        <w:rPr>
          <w:rFonts w:ascii="黑体" w:eastAsia="黑体" w:hAnsi="黑体" w:hint="eastAsia"/>
          <w:sz w:val="32"/>
          <w:szCs w:val="32"/>
        </w:rPr>
        <w:t>四、财政拨款“三公”经费预算情况及增减变化原因</w:t>
      </w:r>
    </w:p>
    <w:p w:rsidR="00E97843" w:rsidRPr="00AA71ED" w:rsidRDefault="00E97843" w:rsidP="006402E3">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w:t>
      </w:r>
      <w:r w:rsidRPr="00AA71ED">
        <w:rPr>
          <w:rFonts w:ascii="仿宋" w:eastAsia="仿宋" w:hAnsi="仿宋" w:hint="eastAsia"/>
          <w:sz w:val="32"/>
          <w:szCs w:val="32"/>
        </w:rPr>
        <w:t>，本部门</w:t>
      </w:r>
      <w:r w:rsidRPr="00AA71ED">
        <w:rPr>
          <w:rFonts w:ascii="仿宋" w:eastAsia="仿宋" w:hAnsi="仿宋"/>
          <w:sz w:val="32"/>
          <w:szCs w:val="32"/>
        </w:rPr>
        <w:t xml:space="preserve"> </w:t>
      </w:r>
      <w:r w:rsidRPr="00AA71ED">
        <w:rPr>
          <w:rFonts w:ascii="仿宋" w:eastAsia="仿宋" w:hAnsi="仿宋" w:hint="eastAsia"/>
          <w:sz w:val="32"/>
          <w:szCs w:val="32"/>
        </w:rPr>
        <w:t>“三公”经费预算安排</w:t>
      </w:r>
      <w:r>
        <w:rPr>
          <w:rFonts w:ascii="仿宋" w:eastAsia="仿宋" w:hAnsi="仿宋"/>
          <w:sz w:val="32"/>
          <w:szCs w:val="32"/>
        </w:rPr>
        <w:t>3.8</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6627D">
        <w:rPr>
          <w:rFonts w:ascii="仿宋" w:eastAsia="仿宋" w:hAnsi="仿宋" w:hint="eastAsia"/>
          <w:sz w:val="32"/>
          <w:szCs w:val="32"/>
        </w:rPr>
        <w:t>包括一般公共预算</w:t>
      </w:r>
      <w:r>
        <w:rPr>
          <w:rFonts w:ascii="仿宋" w:eastAsia="仿宋" w:hAnsi="仿宋"/>
          <w:sz w:val="32"/>
          <w:szCs w:val="32"/>
        </w:rPr>
        <w:t>3.8</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和财政专户核拨资金</w:t>
      </w:r>
      <w:r>
        <w:rPr>
          <w:rFonts w:ascii="仿宋" w:eastAsia="仿宋" w:hAnsi="仿宋"/>
          <w:sz w:val="32"/>
          <w:szCs w:val="32"/>
        </w:rPr>
        <w:t>0</w:t>
      </w:r>
      <w:r w:rsidRPr="00AA71ED">
        <w:rPr>
          <w:rFonts w:ascii="仿宋" w:eastAsia="仿宋" w:hAnsi="仿宋" w:hint="eastAsia"/>
          <w:sz w:val="32"/>
          <w:szCs w:val="32"/>
        </w:rPr>
        <w:t>万元</w:t>
      </w:r>
      <w:r w:rsidRPr="00A6627D">
        <w:rPr>
          <w:rFonts w:ascii="方正仿宋_GBK" w:eastAsia="方正仿宋_GBK" w:hAnsi="Simsun" w:cs="宋体" w:hint="eastAsia"/>
          <w:color w:val="000000"/>
          <w:kern w:val="0"/>
          <w:sz w:val="32"/>
          <w:szCs w:val="32"/>
        </w:rPr>
        <w:t>）</w:t>
      </w:r>
      <w:r w:rsidRPr="00AA71ED">
        <w:rPr>
          <w:rFonts w:ascii="仿宋" w:eastAsia="仿宋" w:hAnsi="仿宋" w:hint="eastAsia"/>
          <w:sz w:val="32"/>
          <w:szCs w:val="32"/>
        </w:rPr>
        <w:t>，其中因公出国（境）费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w:t>
      </w:r>
      <w:r w:rsidRPr="001C2F11">
        <w:rPr>
          <w:rFonts w:ascii="仿宋" w:eastAsia="仿宋" w:hAnsi="仿宋" w:hint="eastAsia"/>
          <w:sz w:val="32"/>
          <w:szCs w:val="32"/>
        </w:rPr>
        <w:t>持平</w:t>
      </w:r>
      <w:r>
        <w:rPr>
          <w:rFonts w:ascii="仿宋" w:eastAsia="仿宋" w:hAnsi="仿宋"/>
          <w:sz w:val="32"/>
          <w:szCs w:val="32"/>
        </w:rPr>
        <w:t>,</w:t>
      </w:r>
      <w:r w:rsidRPr="00026498">
        <w:rPr>
          <w:rFonts w:ascii="仿宋" w:eastAsia="仿宋" w:hAnsi="仿宋"/>
          <w:sz w:val="32"/>
          <w:szCs w:val="32"/>
        </w:rPr>
        <w:t xml:space="preserve"> </w:t>
      </w:r>
      <w:r>
        <w:rPr>
          <w:rFonts w:ascii="仿宋" w:eastAsia="仿宋" w:hAnsi="仿宋" w:hint="eastAsia"/>
          <w:sz w:val="32"/>
          <w:szCs w:val="32"/>
        </w:rPr>
        <w:t>无增减变动</w:t>
      </w:r>
      <w:r w:rsidRPr="00AA71ED">
        <w:rPr>
          <w:rFonts w:ascii="仿宋" w:eastAsia="仿宋" w:hAnsi="仿宋" w:hint="eastAsia"/>
          <w:sz w:val="32"/>
          <w:szCs w:val="32"/>
        </w:rPr>
        <w:t>；公务用车购置及运维费</w:t>
      </w:r>
      <w:r>
        <w:rPr>
          <w:rFonts w:ascii="仿宋" w:eastAsia="仿宋" w:hAnsi="仿宋"/>
          <w:sz w:val="32"/>
          <w:szCs w:val="32"/>
        </w:rPr>
        <w:t>3.8</w:t>
      </w:r>
      <w:r w:rsidRPr="00AA71ED">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，公务用车运行费</w:t>
      </w:r>
      <w:r>
        <w:rPr>
          <w:rFonts w:ascii="仿宋" w:eastAsia="仿宋" w:hAnsi="仿宋"/>
          <w:sz w:val="32"/>
          <w:szCs w:val="32"/>
        </w:rPr>
        <w:t>3.8</w:t>
      </w:r>
      <w:r w:rsidRPr="00AA71ED">
        <w:rPr>
          <w:rFonts w:ascii="仿宋" w:eastAsia="仿宋" w:hAnsi="仿宋" w:hint="eastAsia"/>
          <w:sz w:val="32"/>
          <w:szCs w:val="32"/>
        </w:rPr>
        <w:t>万元</w:t>
      </w:r>
      <w:r w:rsidRPr="00AA71ED">
        <w:rPr>
          <w:rFonts w:ascii="仿宋" w:eastAsia="仿宋" w:hAnsi="仿宋"/>
          <w:sz w:val="32"/>
          <w:szCs w:val="32"/>
        </w:rPr>
        <w:t>)</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年增加</w:t>
      </w:r>
      <w:r>
        <w:rPr>
          <w:rFonts w:ascii="仿宋" w:eastAsia="仿宋" w:hAnsi="仿宋"/>
          <w:sz w:val="32"/>
          <w:szCs w:val="32"/>
        </w:rPr>
        <w:t>1.9</w:t>
      </w:r>
      <w:r>
        <w:rPr>
          <w:rFonts w:ascii="仿宋" w:eastAsia="仿宋" w:hAnsi="仿宋" w:hint="eastAsia"/>
          <w:sz w:val="32"/>
          <w:szCs w:val="32"/>
        </w:rPr>
        <w:t>万元</w:t>
      </w:r>
      <w:r>
        <w:rPr>
          <w:rFonts w:ascii="仿宋" w:eastAsia="仿宋" w:hAnsi="仿宋"/>
          <w:sz w:val="32"/>
          <w:szCs w:val="32"/>
        </w:rPr>
        <w:t>,</w:t>
      </w:r>
      <w:r w:rsidRPr="00026498">
        <w:rPr>
          <w:rFonts w:ascii="仿宋" w:eastAsia="仿宋" w:hAnsi="仿宋"/>
          <w:sz w:val="32"/>
          <w:szCs w:val="32"/>
        </w:rPr>
        <w:t xml:space="preserve"> </w:t>
      </w:r>
      <w:r>
        <w:rPr>
          <w:rFonts w:ascii="仿宋" w:eastAsia="仿宋" w:hAnsi="仿宋" w:hint="eastAsia"/>
          <w:sz w:val="32"/>
          <w:szCs w:val="32"/>
        </w:rPr>
        <w:t>主要原因是增加公务用车一辆</w:t>
      </w:r>
      <w:r w:rsidRPr="00AA71ED">
        <w:rPr>
          <w:rFonts w:ascii="仿宋" w:eastAsia="仿宋" w:hAnsi="仿宋" w:hint="eastAsia"/>
          <w:sz w:val="32"/>
          <w:szCs w:val="32"/>
        </w:rPr>
        <w:t>；公务接待费</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r w:rsidRPr="00AA71ED">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w:t>
      </w:r>
      <w:r w:rsidRPr="008C4EE7">
        <w:rPr>
          <w:rFonts w:ascii="仿宋" w:eastAsia="仿宋" w:hAnsi="仿宋" w:hint="eastAsia"/>
          <w:sz w:val="32"/>
          <w:szCs w:val="32"/>
        </w:rPr>
        <w:t>持平</w:t>
      </w:r>
      <w:r>
        <w:rPr>
          <w:rFonts w:ascii="仿宋" w:eastAsia="仿宋" w:hAnsi="仿宋"/>
          <w:sz w:val="32"/>
          <w:szCs w:val="32"/>
        </w:rPr>
        <w:t>,</w:t>
      </w:r>
      <w:r>
        <w:rPr>
          <w:rFonts w:ascii="仿宋" w:eastAsia="仿宋" w:hAnsi="仿宋" w:hint="eastAsia"/>
          <w:sz w:val="32"/>
          <w:szCs w:val="32"/>
        </w:rPr>
        <w:t>无增减变动。</w:t>
      </w:r>
    </w:p>
    <w:p w:rsidR="00E97843" w:rsidRPr="00C24BF5" w:rsidRDefault="00E97843"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E97843" w:rsidRPr="00C24BF5" w:rsidRDefault="00E97843" w:rsidP="00C24BF5">
      <w:pPr>
        <w:ind w:firstLineChars="200" w:firstLine="643"/>
        <w:jc w:val="left"/>
        <w:rPr>
          <w:rFonts w:ascii="宋体"/>
          <w:b/>
          <w:sz w:val="32"/>
          <w:szCs w:val="32"/>
        </w:rPr>
      </w:pPr>
      <w:bookmarkStart w:id="1" w:name="_Toc471398463"/>
      <w:r w:rsidRPr="00C24BF5">
        <w:rPr>
          <w:rFonts w:ascii="宋体" w:hAnsi="宋体" w:hint="eastAsia"/>
          <w:b/>
          <w:sz w:val="32"/>
          <w:szCs w:val="32"/>
        </w:rPr>
        <w:t>总体绩效目标：</w:t>
      </w:r>
    </w:p>
    <w:p w:rsidR="00E97843" w:rsidRDefault="00E97843" w:rsidP="005A503A">
      <w:pPr>
        <w:ind w:firstLineChars="200" w:firstLine="643"/>
        <w:jc w:val="left"/>
        <w:rPr>
          <w:rFonts w:ascii="宋体"/>
          <w:b/>
          <w:sz w:val="32"/>
          <w:szCs w:val="32"/>
        </w:rPr>
      </w:pPr>
      <w:r>
        <w:rPr>
          <w:rFonts w:ascii="楷体" w:eastAsia="楷体" w:hAnsi="楷体" w:cs="楷体" w:hint="eastAsia"/>
          <w:b/>
          <w:sz w:val="32"/>
          <w:szCs w:val="32"/>
        </w:rPr>
        <w:t>总体绩效目标：</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按照县委、县政府关于搞活商贸流通的相关要求，完成任务分解、资金安排等相关工作。</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推进我县商贸企业工贸、农贸和内外贸结合，扩大我县产品的知名度，增加国内市场份额。</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统筹城乡商贸物流配送中心建设，提高共同配送率。通过试点建设带动试点早餐工程标准化、连锁化发展。用于农村市场和农产品流通基础设施建设，完善农产品流通和农村市场体系。</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提高农村电子商务应用，扩大网络消费规模。推动农村电子商务基础设施建设，提高电子商务执业人员素质；建立与我县农村电子商务发展相适应的机制和体系。</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确保储备商品质量完好，数量充足，准确监测全县市场运行情况，及时预测预警，指导生产经营。</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促进对外贸易稳定增长，优化产品结构。</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瞄准重点区域、重点客商和商务机构，加强企业对接、园区对接，项目对接，宣传本县投资环境，力争在重点产业引进一批战略支撑项目、龙头企业和协力配套企业。</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组织高新技术企业参加中国国际高新技术成果交易会和国际专业展会。积极开拓国际、国内两个市场，不断优化产品结构和市场结构，稳步推进全县高新技术产业国际化。</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转变对外贸易发展方式，推动服务业与服务贸易、货物贸易与服务贸易协调融合发展，促进服务贸易总额增长，提升服务贸易对全县外贸增长的拉动作用。</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确保对外经济合作业务稳定增长。</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优化外贸商品结构、市场结构、主体结构、贸易方式结构。</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统筹协调全县打击侵权假冒工作，完善开发区建设发展管理体系，增强网上办事能力，确保商务顺利完成。</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保障各项业务工作畅通。</w:t>
      </w:r>
    </w:p>
    <w:p w:rsidR="00E97843" w:rsidRDefault="00E97843" w:rsidP="005A503A">
      <w:pPr>
        <w:numPr>
          <w:ilvl w:val="0"/>
          <w:numId w:val="1"/>
        </w:numPr>
        <w:tabs>
          <w:tab w:val="clear" w:pos="1170"/>
        </w:tabs>
        <w:autoSpaceDE w:val="0"/>
        <w:autoSpaceDN w:val="0"/>
        <w:adjustRightInd w:val="0"/>
        <w:ind w:left="0" w:firstLine="735"/>
        <w:jc w:val="left"/>
        <w:rPr>
          <w:rFonts w:ascii="仿宋" w:eastAsia="仿宋" w:hAnsi="仿宋"/>
          <w:sz w:val="32"/>
          <w:szCs w:val="32"/>
        </w:rPr>
      </w:pPr>
      <w:r>
        <w:rPr>
          <w:rFonts w:ascii="仿宋" w:eastAsia="仿宋" w:hAnsi="仿宋" w:hint="eastAsia"/>
          <w:sz w:val="32"/>
          <w:szCs w:val="32"/>
        </w:rPr>
        <w:t>保障机关正常工作有效运转。</w:t>
      </w:r>
    </w:p>
    <w:p w:rsidR="00E97843" w:rsidRPr="00C24BF5" w:rsidRDefault="00E97843" w:rsidP="00925753">
      <w:pPr>
        <w:ind w:firstLineChars="200" w:firstLine="643"/>
        <w:jc w:val="left"/>
        <w:outlineLvl w:val="0"/>
        <w:rPr>
          <w:rFonts w:ascii="宋体"/>
          <w:b/>
          <w:sz w:val="32"/>
          <w:szCs w:val="32"/>
        </w:rPr>
      </w:pPr>
      <w:r w:rsidRPr="00C24BF5">
        <w:rPr>
          <w:rFonts w:ascii="宋体" w:hAnsi="宋体" w:hint="eastAsia"/>
          <w:b/>
          <w:sz w:val="32"/>
          <w:szCs w:val="32"/>
        </w:rPr>
        <w:t>部门职责及工作活动绩效目标指标：</w:t>
      </w:r>
    </w:p>
    <w:p w:rsidR="00E97843" w:rsidRDefault="00E97843" w:rsidP="00AA49E8">
      <w:pPr>
        <w:jc w:val="center"/>
        <w:outlineLvl w:val="0"/>
        <w:rPr>
          <w:rFonts w:ascii="方正小标宋_GBK" w:eastAsia="方正小标宋_GBK"/>
          <w:color w:val="FFFFFF"/>
          <w:sz w:val="32"/>
        </w:rPr>
      </w:pPr>
      <w:bookmarkStart w:id="2" w:name="_Toc2854220"/>
      <w:r w:rsidRPr="009D7FD2">
        <w:rPr>
          <w:rFonts w:ascii="方正小标宋_GBK" w:eastAsia="方正小标宋_GBK" w:hint="eastAsia"/>
          <w:sz w:val="32"/>
        </w:rPr>
        <w:t>部门职责</w:t>
      </w:r>
      <w:r w:rsidRPr="009D7FD2">
        <w:rPr>
          <w:rFonts w:ascii="方正小标宋_GBK" w:eastAsia="方正小标宋_GBK"/>
          <w:sz w:val="32"/>
        </w:rPr>
        <w:t>-</w:t>
      </w:r>
      <w:r w:rsidRPr="009D7FD2">
        <w:rPr>
          <w:rFonts w:ascii="方正小标宋_GBK" w:eastAsia="方正小标宋_GBK" w:hint="eastAsia"/>
          <w:sz w:val="32"/>
        </w:rPr>
        <w:t>工作活动绩效目标</w:t>
      </w:r>
      <w:r w:rsidRPr="009D7FD2">
        <w:rPr>
          <w:rStyle w:val="FootnoteReference"/>
          <w:rFonts w:ascii="方正小标宋_GBK" w:eastAsia="方正小标宋_GBK" w:hAnsi="Symbol" w:hint="eastAsia"/>
          <w:color w:val="FFFFFF"/>
          <w:sz w:val="32"/>
          <w:szCs w:val="32"/>
        </w:rPr>
        <w:footnoteReference w:customMarkFollows="1" w:id="1"/>
        <w:sym w:font="Symbol" w:char="F020"/>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97843" w:rsidTr="0032370F">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97843" w:rsidRPr="009D7FD2" w:rsidRDefault="00E97843" w:rsidP="0032370F">
            <w:pPr>
              <w:spacing w:line="300" w:lineRule="exact"/>
              <w:jc w:val="left"/>
              <w:rPr>
                <w:rFonts w:ascii="方正小标宋_GBK" w:eastAsia="方正小标宋_GBK"/>
                <w:sz w:val="24"/>
              </w:rPr>
            </w:pPr>
            <w:r>
              <w:rPr>
                <w:rFonts w:ascii="方正小标宋_GBK" w:eastAsia="方正小标宋_GBK"/>
                <w:sz w:val="24"/>
              </w:rPr>
              <w:t>322</w:t>
            </w:r>
            <w:r>
              <w:rPr>
                <w:rFonts w:ascii="方正小标宋_GBK" w:eastAsia="方正小标宋_GBK" w:hint="eastAsia"/>
                <w:sz w:val="24"/>
              </w:rPr>
              <w:t>县商务局</w:t>
            </w:r>
          </w:p>
        </w:tc>
        <w:tc>
          <w:tcPr>
            <w:tcW w:w="2948" w:type="dxa"/>
            <w:gridSpan w:val="4"/>
            <w:tcBorders>
              <w:top w:val="single" w:sz="6" w:space="0" w:color="FFFFFF"/>
              <w:left w:val="single" w:sz="6" w:space="0" w:color="FFFFFF"/>
              <w:right w:val="single" w:sz="6" w:space="0" w:color="FFFFFF"/>
            </w:tcBorders>
            <w:vAlign w:val="center"/>
          </w:tcPr>
          <w:p w:rsidR="00E97843" w:rsidRPr="009D7FD2" w:rsidRDefault="00E97843" w:rsidP="0032370F">
            <w:pPr>
              <w:spacing w:line="300" w:lineRule="exact"/>
              <w:jc w:val="right"/>
              <w:rPr>
                <w:rFonts w:ascii="方正书宋_GBK" w:eastAsia="方正书宋_GBK"/>
                <w:sz w:val="24"/>
              </w:rPr>
            </w:pPr>
            <w:r>
              <w:rPr>
                <w:rFonts w:ascii="方正书宋_GBK" w:eastAsia="方正书宋_GBK" w:hint="eastAsia"/>
                <w:sz w:val="24"/>
              </w:rPr>
              <w:t>单位：万元</w:t>
            </w:r>
          </w:p>
        </w:tc>
      </w:tr>
      <w:tr w:rsidR="00E97843" w:rsidTr="0032370F">
        <w:trPr>
          <w:trHeight w:val="227"/>
          <w:tblHeader/>
          <w:jc w:val="center"/>
        </w:trPr>
        <w:tc>
          <w:tcPr>
            <w:tcW w:w="2341" w:type="dxa"/>
            <w:vMerge w:val="restart"/>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评价标准</w:t>
            </w:r>
          </w:p>
        </w:tc>
      </w:tr>
      <w:tr w:rsidR="00E97843" w:rsidTr="0032370F">
        <w:trPr>
          <w:trHeight w:val="227"/>
          <w:tblHeader/>
          <w:jc w:val="center"/>
        </w:trPr>
        <w:tc>
          <w:tcPr>
            <w:tcW w:w="2341" w:type="dxa"/>
            <w:vMerge/>
            <w:vAlign w:val="center"/>
          </w:tcPr>
          <w:p w:rsidR="00E97843" w:rsidRDefault="00E97843" w:rsidP="0032370F">
            <w:pPr>
              <w:spacing w:line="300" w:lineRule="exact"/>
              <w:jc w:val="left"/>
              <w:outlineLvl w:val="0"/>
            </w:pPr>
          </w:p>
        </w:tc>
        <w:tc>
          <w:tcPr>
            <w:tcW w:w="1276" w:type="dxa"/>
            <w:vMerge/>
            <w:vAlign w:val="center"/>
          </w:tcPr>
          <w:p w:rsidR="00E97843" w:rsidRDefault="00E97843" w:rsidP="0032370F">
            <w:pPr>
              <w:spacing w:line="300" w:lineRule="exact"/>
              <w:jc w:val="left"/>
              <w:outlineLvl w:val="0"/>
            </w:pPr>
          </w:p>
        </w:tc>
        <w:tc>
          <w:tcPr>
            <w:tcW w:w="2976" w:type="dxa"/>
            <w:vMerge/>
            <w:vAlign w:val="center"/>
          </w:tcPr>
          <w:p w:rsidR="00E97843" w:rsidRDefault="00E97843" w:rsidP="0032370F">
            <w:pPr>
              <w:spacing w:line="300" w:lineRule="exact"/>
              <w:jc w:val="left"/>
              <w:outlineLvl w:val="0"/>
            </w:pPr>
          </w:p>
        </w:tc>
        <w:tc>
          <w:tcPr>
            <w:tcW w:w="2976" w:type="dxa"/>
            <w:vMerge/>
            <w:vAlign w:val="center"/>
          </w:tcPr>
          <w:p w:rsidR="00E97843" w:rsidRDefault="00E97843" w:rsidP="0032370F">
            <w:pPr>
              <w:spacing w:line="300" w:lineRule="exact"/>
              <w:jc w:val="left"/>
              <w:outlineLvl w:val="0"/>
            </w:pPr>
          </w:p>
        </w:tc>
        <w:tc>
          <w:tcPr>
            <w:tcW w:w="1417" w:type="dxa"/>
            <w:vMerge/>
            <w:vAlign w:val="center"/>
          </w:tcPr>
          <w:p w:rsidR="00E97843" w:rsidRDefault="00E97843" w:rsidP="0032370F">
            <w:pPr>
              <w:spacing w:line="300" w:lineRule="exact"/>
              <w:jc w:val="left"/>
              <w:outlineLvl w:val="0"/>
            </w:pPr>
          </w:p>
        </w:tc>
        <w:tc>
          <w:tcPr>
            <w:tcW w:w="737" w:type="dxa"/>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E97843" w:rsidRPr="009D7FD2" w:rsidRDefault="00E97843" w:rsidP="0032370F">
            <w:pPr>
              <w:spacing w:line="300" w:lineRule="exact"/>
              <w:jc w:val="center"/>
              <w:rPr>
                <w:rFonts w:ascii="方正书宋_GBK" w:eastAsia="方正书宋_GBK"/>
                <w:b/>
              </w:rPr>
            </w:pPr>
            <w:r>
              <w:rPr>
                <w:rFonts w:ascii="方正书宋_GBK" w:eastAsia="方正书宋_GBK" w:hint="eastAsia"/>
                <w:b/>
              </w:rPr>
              <w:t>差</w:t>
            </w:r>
          </w:p>
        </w:tc>
      </w:tr>
      <w:tr w:rsidR="00E97843" w:rsidTr="0032370F">
        <w:trPr>
          <w:trHeight w:val="227"/>
          <w:jc w:val="center"/>
        </w:trPr>
        <w:tc>
          <w:tcPr>
            <w:tcW w:w="2341" w:type="dxa"/>
            <w:vAlign w:val="center"/>
          </w:tcPr>
          <w:p w:rsidR="00E97843" w:rsidRPr="009D7FD2" w:rsidRDefault="00E97843" w:rsidP="0032370F">
            <w:pPr>
              <w:spacing w:line="300" w:lineRule="exact"/>
              <w:jc w:val="left"/>
              <w:rPr>
                <w:rFonts w:ascii="方正书宋_GBK" w:eastAsia="方正书宋_GBK"/>
                <w:b/>
              </w:rPr>
            </w:pPr>
            <w:r w:rsidRPr="009D7FD2">
              <w:rPr>
                <w:rFonts w:ascii="方正书宋_GBK" w:eastAsia="方正书宋_GBK" w:hint="eastAsia"/>
                <w:b/>
              </w:rPr>
              <w:t>一、对内商贸管理</w:t>
            </w:r>
          </w:p>
        </w:tc>
        <w:tc>
          <w:tcPr>
            <w:tcW w:w="1276" w:type="dxa"/>
            <w:vAlign w:val="center"/>
          </w:tcPr>
          <w:p w:rsidR="00E97843" w:rsidRPr="009D7FD2" w:rsidRDefault="00E97843" w:rsidP="0032370F">
            <w:pPr>
              <w:spacing w:line="300" w:lineRule="exact"/>
              <w:jc w:val="left"/>
              <w:rPr>
                <w:rFonts w:ascii="方正书宋_GBK" w:eastAsia="方正书宋_GBK"/>
              </w:rPr>
            </w:pPr>
            <w:r w:rsidRPr="009D7FD2">
              <w:rPr>
                <w:rFonts w:ascii="方正书宋_GBK" w:eastAsia="方正书宋_GBK"/>
              </w:rPr>
              <w:t>5.00</w:t>
            </w:r>
          </w:p>
        </w:tc>
        <w:tc>
          <w:tcPr>
            <w:tcW w:w="2976" w:type="dxa"/>
            <w:vAlign w:val="center"/>
          </w:tcPr>
          <w:p w:rsidR="00E97843" w:rsidRPr="009D7FD2" w:rsidRDefault="00E97843" w:rsidP="0032370F">
            <w:pPr>
              <w:spacing w:line="300" w:lineRule="exact"/>
              <w:jc w:val="left"/>
              <w:rPr>
                <w:rFonts w:ascii="方正书宋_GBK" w:eastAsia="方正书宋_GBK"/>
              </w:rPr>
            </w:pPr>
            <w:r w:rsidRPr="009D7FD2">
              <w:rPr>
                <w:rFonts w:ascii="方正书宋_GBK" w:eastAsia="方正书宋_GBK" w:hint="eastAsia"/>
              </w:rPr>
              <w:t>拟定全县国内贸易发展规划，推进农村市场体系建设，推动流通标准化和现代流通方式的发展，组织实施重要生产资料流通管理的责任。</w:t>
            </w:r>
          </w:p>
        </w:tc>
        <w:tc>
          <w:tcPr>
            <w:tcW w:w="2976" w:type="dxa"/>
            <w:vAlign w:val="center"/>
          </w:tcPr>
          <w:p w:rsidR="00E97843" w:rsidRPr="009D7FD2" w:rsidRDefault="00E97843" w:rsidP="0032370F">
            <w:pPr>
              <w:spacing w:line="300" w:lineRule="exact"/>
              <w:jc w:val="left"/>
              <w:rPr>
                <w:rFonts w:ascii="方正书宋_GBK" w:eastAsia="方正书宋_GBK"/>
              </w:rPr>
            </w:pPr>
            <w:r w:rsidRPr="009D7FD2">
              <w:rPr>
                <w:rFonts w:ascii="方正书宋_GBK" w:eastAsia="方正书宋_GBK" w:hint="eastAsia"/>
              </w:rPr>
              <w:t>按照县委、县政府关于搞活商贸流通的相关要求，完成任务分解、资金安排等相关工作</w:t>
            </w:r>
          </w:p>
        </w:tc>
        <w:tc>
          <w:tcPr>
            <w:tcW w:w="1417" w:type="dxa"/>
            <w:vAlign w:val="center"/>
          </w:tcPr>
          <w:p w:rsidR="00E97843" w:rsidRPr="009D7FD2" w:rsidRDefault="00E97843" w:rsidP="0032370F">
            <w:pPr>
              <w:spacing w:line="300" w:lineRule="exact"/>
              <w:jc w:val="left"/>
              <w:rPr>
                <w:rFonts w:ascii="方正书宋_GBK" w:eastAsia="方正书宋_GBK"/>
              </w:rPr>
            </w:pPr>
          </w:p>
        </w:tc>
        <w:tc>
          <w:tcPr>
            <w:tcW w:w="737" w:type="dxa"/>
            <w:vAlign w:val="center"/>
          </w:tcPr>
          <w:p w:rsidR="00E97843" w:rsidRPr="009D7FD2" w:rsidRDefault="00E97843" w:rsidP="0032370F">
            <w:pPr>
              <w:spacing w:line="300" w:lineRule="exact"/>
              <w:jc w:val="center"/>
              <w:rPr>
                <w:rFonts w:ascii="方正书宋_GBK" w:eastAsia="方正书宋_GBK"/>
              </w:rPr>
            </w:pPr>
          </w:p>
        </w:tc>
        <w:tc>
          <w:tcPr>
            <w:tcW w:w="737" w:type="dxa"/>
            <w:vAlign w:val="center"/>
          </w:tcPr>
          <w:p w:rsidR="00E97843" w:rsidRPr="009D7FD2" w:rsidRDefault="00E97843" w:rsidP="0032370F">
            <w:pPr>
              <w:spacing w:line="300" w:lineRule="exact"/>
              <w:jc w:val="center"/>
              <w:rPr>
                <w:rFonts w:ascii="方正书宋_GBK" w:eastAsia="方正书宋_GBK"/>
              </w:rPr>
            </w:pPr>
          </w:p>
        </w:tc>
        <w:tc>
          <w:tcPr>
            <w:tcW w:w="737" w:type="dxa"/>
            <w:vAlign w:val="center"/>
          </w:tcPr>
          <w:p w:rsidR="00E97843" w:rsidRPr="009D7FD2" w:rsidRDefault="00E97843" w:rsidP="0032370F">
            <w:pPr>
              <w:spacing w:line="300" w:lineRule="exact"/>
              <w:jc w:val="center"/>
              <w:rPr>
                <w:rFonts w:ascii="方正书宋_GBK" w:eastAsia="方正书宋_GBK"/>
              </w:rPr>
            </w:pPr>
          </w:p>
        </w:tc>
        <w:tc>
          <w:tcPr>
            <w:tcW w:w="737" w:type="dxa"/>
            <w:vAlign w:val="center"/>
          </w:tcPr>
          <w:p w:rsidR="00E97843" w:rsidRPr="009D7FD2" w:rsidRDefault="00E97843" w:rsidP="0032370F">
            <w:pPr>
              <w:spacing w:line="300" w:lineRule="exact"/>
              <w:jc w:val="center"/>
              <w:rPr>
                <w:rFonts w:ascii="方正书宋_GBK" w:eastAsia="方正书宋_GBK"/>
              </w:rPr>
            </w:pP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、开拓国内市场</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组织我县企业参加省市组织的商贸洽谈活动</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推进我县商贸企业工贸、农贸和内外贸结合，扩大我县产品的知名度，增加国内市场份额</w:t>
            </w:r>
          </w:p>
        </w:tc>
        <w:tc>
          <w:tcPr>
            <w:tcW w:w="1417" w:type="dxa"/>
            <w:vAlign w:val="center"/>
          </w:tcPr>
          <w:p w:rsidR="00E97843" w:rsidRPr="009D7FD2" w:rsidRDefault="00E97843" w:rsidP="0032370F">
            <w:pPr>
              <w:spacing w:line="300" w:lineRule="exact"/>
              <w:jc w:val="left"/>
              <w:rPr>
                <w:rFonts w:ascii="方正书宋_GBK" w:eastAsia="方正书宋_GBK"/>
              </w:rPr>
            </w:pPr>
            <w:r>
              <w:rPr>
                <w:rFonts w:ascii="方正书宋_GBK" w:eastAsia="方正书宋_GBK" w:hint="eastAsia"/>
              </w:rPr>
              <w:t>企业现场销售金额</w:t>
            </w:r>
            <w:r>
              <w:rPr>
                <w:rFonts w:ascii="方正书宋_GBK" w:eastAsia="方正书宋_GBK"/>
              </w:rPr>
              <w:t>(</w:t>
            </w:r>
            <w:r>
              <w:rPr>
                <w:rFonts w:ascii="方正书宋_GBK" w:eastAsia="方正书宋_GBK" w:hint="eastAsia"/>
              </w:rPr>
              <w:t>万元）</w:t>
            </w:r>
          </w:p>
        </w:tc>
        <w:tc>
          <w:tcPr>
            <w:tcW w:w="737" w:type="dxa"/>
            <w:vAlign w:val="center"/>
          </w:tcPr>
          <w:p w:rsidR="00E97843" w:rsidRPr="009D7FD2"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97843" w:rsidRPr="009D7FD2"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Pr="009D7FD2"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Pr="009D7FD2"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企业现场签订意向合同金额</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参加国内展会次数（次）</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&lt;2</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参展企业数量</w:t>
            </w:r>
            <w:r>
              <w:rPr>
                <w:rFonts w:ascii="方正书宋_GBK" w:eastAsia="方正书宋_GBK"/>
              </w:rPr>
              <w:t>(</w:t>
            </w:r>
            <w:r>
              <w:rPr>
                <w:rFonts w:ascii="方正书宋_GBK" w:eastAsia="方正书宋_GBK" w:hint="eastAsia"/>
              </w:rPr>
              <w:t>家</w:t>
            </w:r>
            <w:r>
              <w:rPr>
                <w:rFonts w:ascii="方正书宋_GBK" w:eastAsia="方正书宋_GBK"/>
              </w:rPr>
              <w:t>)</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&lt;2</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、促进商贸流通</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扶持商贸流通领域，支持大型商贸企业、商贸连锁经营企业或第三方商贸物流企业的标准化配送中心建设及改造、物流信息平台建设；推动开展乡镇集贸市场试点示范建设，引导全县乡镇集贸市场向规范化、标准化、现代化方向发展，促进农村消费。对贫困地区的农村市场和农产品流通基础设施进行帮扶建设。</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统筹城乡商贸物流配送中心建设，提高共同配送率。通过试点建设带动试点早餐工程标准化、连锁化发展。用于农村市场和农产品流通基础设施建设，完善农产品流通和农村市场体系。</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投资农产品流通和农村市场体系项目数量（个</w:t>
            </w:r>
            <w:r>
              <w:rPr>
                <w:rFonts w:ascii="方正书宋_GBK" w:eastAsia="方正书宋_GBK"/>
              </w:rPr>
              <w:t>)</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&lt;2</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投资的农产品市场或农村市场销售额增长率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&lt;5%</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早快餐连锁店家数</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商贸物流配送中心家数</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、农村电子商务建设</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支持农村电子商务基础设施建设，完善服务体系。</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提高农村电子商务应用，扩大网络消费规模。推动农村电子商务基础设施建设，提高电子商务执业人员素质；建立与我县农村电子商务发展相适应的机制和体系。</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农村电商企业营业额增长率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&lt;5%</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电子商务交易增长额</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&lt;5%</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新增农村电商项目数量（个）</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培训农村电子商务人员数量（人）</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&lt;6</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、消费市场调控</w:t>
            </w:r>
          </w:p>
        </w:tc>
        <w:tc>
          <w:tcPr>
            <w:tcW w:w="12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rPr>
              <w:t>5.00</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组织实施重要消费品、生产资料市场调控和流通管理</w:t>
            </w:r>
            <w:r>
              <w:rPr>
                <w:rFonts w:ascii="方正书宋_GBK" w:eastAsia="方正书宋_GBK"/>
              </w:rPr>
              <w:t>,</w:t>
            </w:r>
            <w:r>
              <w:rPr>
                <w:rFonts w:ascii="方正书宋_GBK" w:eastAsia="方正书宋_GBK" w:hint="eastAsia"/>
              </w:rPr>
              <w:t>承担生活必须品、肉菜等储备任务，组织开展消费促进活动，监测市场运行、商品供求状况，进行预测预警。</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确保储备商品质量完好，数量充足，准确监测全县市场运行情况，及时预测预警，指导生产经营。</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储备商品计划数量完成率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&lt;85%</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监测信息报送率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&lt;70%</w:t>
            </w:r>
          </w:p>
        </w:tc>
      </w:tr>
      <w:tr w:rsidR="00E97843" w:rsidTr="0032370F">
        <w:trPr>
          <w:trHeight w:val="227"/>
          <w:jc w:val="center"/>
        </w:trPr>
        <w:tc>
          <w:tcPr>
            <w:tcW w:w="2341" w:type="dxa"/>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二、对外贸易管理</w:t>
            </w:r>
          </w:p>
        </w:tc>
        <w:tc>
          <w:tcPr>
            <w:tcW w:w="1276" w:type="dxa"/>
            <w:vAlign w:val="center"/>
          </w:tcPr>
          <w:p w:rsidR="00E97843" w:rsidRDefault="00E97843" w:rsidP="0032370F">
            <w:pPr>
              <w:spacing w:line="300" w:lineRule="exact"/>
              <w:jc w:val="left"/>
              <w:rPr>
                <w:rFonts w:ascii="方正书宋_GBK" w:eastAsia="方正书宋_GBK"/>
              </w:rPr>
            </w:pP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实施对外经济合作及外商投资计划，协调大宗进出口商品，依法监督技术引进、设备进口等工作，拟订全县服务贸易发展规划并组织实施。</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促进对外贸易稳定增长，优化产品结构。</w:t>
            </w:r>
          </w:p>
        </w:tc>
        <w:tc>
          <w:tcPr>
            <w:tcW w:w="1417" w:type="dxa"/>
            <w:vAlign w:val="center"/>
          </w:tcPr>
          <w:p w:rsidR="00E97843" w:rsidRDefault="00E97843" w:rsidP="0032370F">
            <w:pPr>
              <w:spacing w:line="300" w:lineRule="exact"/>
              <w:jc w:val="left"/>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、招商引资</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规范全县对外招商引资活动，组织实施投资贸易洽谈会等活动。组织我县企业走出去，开展贸易洽谈、招商合作等活动，促进贸易往来。</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瞄准重点区域、重点客商和商务机构，加强企业对接、园区对接，项目对接，宣传本县投资环境，力争在重点产业引进一批战略支撑项目、龙头企业和协力配套企业。</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举办活动数量（场）</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到会客商人数（人）</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&lt;100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招商引资规模增长率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赴外地开展招商引资地区数量</w:t>
            </w:r>
            <w:r>
              <w:rPr>
                <w:rFonts w:ascii="方正书宋_GBK" w:eastAsia="方正书宋_GBK"/>
              </w:rPr>
              <w:t>(</w:t>
            </w:r>
            <w:r>
              <w:rPr>
                <w:rFonts w:ascii="方正书宋_GBK" w:eastAsia="方正书宋_GBK" w:hint="eastAsia"/>
              </w:rPr>
              <w:t>个）</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、高新产品进出口管理</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积极开拓国内外两个市场，推动全县高新技术产品对外贸易快速发展，促进全县产业结构调整和增长方式转变。</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组织高新技术企业参加中国国际高新技术成果交易会和国际专业展会。积极开拓国际、国内两个市场，不断优化产品结构和市场结构，稳步推进全县高新技术产业国际化。</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高交会和国际展会参展企业数</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本土企业出口额占比数</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&lt;70%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参加国内外展会数</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高新产品出口额增长率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&lt;1</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、发展服务贸易和服务外包</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推介全县服务贸易和服务外包企业，推动重点领域服务贸易和服务外包。</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转变对外贸易发展方式，推动服务业与服务贸易、货物贸易与服务贸易协调融合发展，促进服务贸易总额增长，提升服务贸易对全县外贸增长的拉动作用。</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参加展会数量</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组织参展参会企业个数（个）</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w:t>
            </w:r>
          </w:p>
        </w:tc>
      </w:tr>
      <w:tr w:rsidR="00E97843" w:rsidTr="0032370F">
        <w:trPr>
          <w:trHeight w:val="227"/>
          <w:jc w:val="center"/>
        </w:trPr>
        <w:tc>
          <w:tcPr>
            <w:tcW w:w="2341" w:type="dxa"/>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、促进对外</w:t>
            </w:r>
            <w:r>
              <w:rPr>
                <w:rFonts w:ascii="方正书宋_GBK" w:eastAsia="方正书宋_GBK"/>
                <w:b/>
              </w:rPr>
              <w:t xml:space="preserve">   </w:t>
            </w:r>
            <w:r>
              <w:rPr>
                <w:rFonts w:ascii="方正书宋_GBK" w:eastAsia="方正书宋_GBK" w:hint="eastAsia"/>
                <w:b/>
              </w:rPr>
              <w:t>经贸服务</w:t>
            </w:r>
          </w:p>
        </w:tc>
        <w:tc>
          <w:tcPr>
            <w:tcW w:w="1276" w:type="dxa"/>
            <w:vAlign w:val="center"/>
          </w:tcPr>
          <w:p w:rsidR="00E97843" w:rsidRDefault="00E97843" w:rsidP="0032370F">
            <w:pPr>
              <w:spacing w:line="300" w:lineRule="exact"/>
              <w:jc w:val="left"/>
              <w:rPr>
                <w:rFonts w:ascii="方正书宋_GBK" w:eastAsia="方正书宋_GBK"/>
              </w:rPr>
            </w:pP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做好进出口数据采集、贸易救济措施调查、产业损害预警、开发区利用外资管理等工作。完善开发区建设发展管理体系。</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确保对外经济合作业务稳定增长</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中小企业出口额增长率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0.1%</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未增长</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负增长</w:t>
            </w:r>
          </w:p>
        </w:tc>
      </w:tr>
      <w:tr w:rsidR="00E97843" w:rsidTr="0032370F">
        <w:trPr>
          <w:trHeight w:val="227"/>
          <w:jc w:val="center"/>
        </w:trPr>
        <w:tc>
          <w:tcPr>
            <w:tcW w:w="2341" w:type="dxa"/>
            <w:vMerge w:val="restart"/>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、加快培育外贸竞争新优势</w:t>
            </w:r>
          </w:p>
        </w:tc>
        <w:tc>
          <w:tcPr>
            <w:tcW w:w="1276" w:type="dxa"/>
            <w:vMerge w:val="restart"/>
            <w:vAlign w:val="center"/>
          </w:tcPr>
          <w:p w:rsidR="00E97843" w:rsidRDefault="00E97843" w:rsidP="0032370F">
            <w:pPr>
              <w:spacing w:line="300" w:lineRule="exact"/>
              <w:jc w:val="left"/>
              <w:rPr>
                <w:rFonts w:ascii="方正书宋_GBK" w:eastAsia="方正书宋_GBK"/>
              </w:rPr>
            </w:pP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支持外贸基地、品牌、境外营销网络建设，发展跨境电商、市场采购、外贸综合服务企业等新业态。开展外贸政策业务免费培训，助力企业开拓国际市场。</w:t>
            </w:r>
          </w:p>
        </w:tc>
        <w:tc>
          <w:tcPr>
            <w:tcW w:w="2976" w:type="dxa"/>
            <w:vMerge w:val="restart"/>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优化外贸商品结构、市场结构、主体结构、贸易方式结构</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货物出口占有率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外贸综合服务企业出口增长率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Merge/>
            <w:vAlign w:val="center"/>
          </w:tcPr>
          <w:p w:rsidR="00E97843" w:rsidRDefault="00E97843" w:rsidP="0032370F">
            <w:pPr>
              <w:spacing w:line="300" w:lineRule="exact"/>
              <w:jc w:val="left"/>
              <w:rPr>
                <w:rFonts w:ascii="方正书宋_GBK" w:eastAsia="方正书宋_GBK"/>
                <w:b/>
              </w:rPr>
            </w:pPr>
          </w:p>
        </w:tc>
        <w:tc>
          <w:tcPr>
            <w:tcW w:w="12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2976" w:type="dxa"/>
            <w:vMerge/>
            <w:vAlign w:val="center"/>
          </w:tcPr>
          <w:p w:rsidR="00E97843" w:rsidRDefault="00E97843" w:rsidP="0032370F">
            <w:pPr>
              <w:spacing w:line="300" w:lineRule="exact"/>
              <w:jc w:val="left"/>
              <w:rPr>
                <w:rFonts w:ascii="方正书宋_GBK" w:eastAsia="方正书宋_GBK"/>
              </w:rPr>
            </w:pP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外贸综合服务企业出口增长率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三、商贸政务管理</w:t>
            </w:r>
          </w:p>
        </w:tc>
        <w:tc>
          <w:tcPr>
            <w:tcW w:w="12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rPr>
              <w:t>3035.78</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负责机关综合业务管理和机关综合事务管理</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统筹协调全县打击侵权假冒工作，完善开发区建设发展管理体系，增强网上办事能力，确保商务顺利完成</w:t>
            </w:r>
          </w:p>
        </w:tc>
        <w:tc>
          <w:tcPr>
            <w:tcW w:w="1417" w:type="dxa"/>
            <w:vAlign w:val="center"/>
          </w:tcPr>
          <w:p w:rsidR="00E97843" w:rsidRDefault="00E97843" w:rsidP="0032370F">
            <w:pPr>
              <w:spacing w:line="300" w:lineRule="exact"/>
              <w:jc w:val="left"/>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c>
          <w:tcPr>
            <w:tcW w:w="737" w:type="dxa"/>
            <w:vAlign w:val="center"/>
          </w:tcPr>
          <w:p w:rsidR="00E97843" w:rsidRDefault="00E97843" w:rsidP="0032370F">
            <w:pPr>
              <w:spacing w:line="300" w:lineRule="exact"/>
              <w:jc w:val="center"/>
              <w:rPr>
                <w:rFonts w:ascii="方正书宋_GBK" w:eastAsia="方正书宋_GBK"/>
              </w:rPr>
            </w:pPr>
          </w:p>
        </w:tc>
      </w:tr>
      <w:tr w:rsidR="00E97843" w:rsidTr="0032370F">
        <w:trPr>
          <w:trHeight w:val="227"/>
          <w:jc w:val="center"/>
        </w:trPr>
        <w:tc>
          <w:tcPr>
            <w:tcW w:w="2341" w:type="dxa"/>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rPr>
              <w:t>25.00</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落实商贸领域政策，推进改革，加强新闻宣传和信息管理等工作，统筹协调全县打击侵犯假冒工作，对拍卖、典当行业进行监督管理。</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保障各项业务工作畅通</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r w:rsidR="00E97843" w:rsidTr="0032370F">
        <w:trPr>
          <w:trHeight w:val="227"/>
          <w:jc w:val="center"/>
        </w:trPr>
        <w:tc>
          <w:tcPr>
            <w:tcW w:w="2341" w:type="dxa"/>
            <w:vAlign w:val="center"/>
          </w:tcPr>
          <w:p w:rsidR="00E97843" w:rsidRDefault="00E97843" w:rsidP="0032370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rPr>
              <w:t>3010.78</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保障机关正常工作有效运转</w:t>
            </w:r>
          </w:p>
        </w:tc>
        <w:tc>
          <w:tcPr>
            <w:tcW w:w="1417" w:type="dxa"/>
            <w:vAlign w:val="center"/>
          </w:tcPr>
          <w:p w:rsidR="00E97843" w:rsidRDefault="00E97843" w:rsidP="0032370F">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E97843" w:rsidRDefault="00E97843" w:rsidP="0032370F">
            <w:pPr>
              <w:spacing w:line="300" w:lineRule="exact"/>
              <w:jc w:val="center"/>
              <w:rPr>
                <w:rFonts w:ascii="方正书宋_GBK" w:eastAsia="方正书宋_GBK"/>
              </w:rPr>
            </w:pPr>
            <w:r>
              <w:rPr>
                <w:rFonts w:ascii="方正书宋_GBK" w:eastAsia="方正书宋_GBK"/>
              </w:rPr>
              <w:t>&lt;90%</w:t>
            </w:r>
          </w:p>
        </w:tc>
      </w:tr>
    </w:tbl>
    <w:p w:rsidR="00E97843" w:rsidRDefault="00E97843" w:rsidP="005A503A">
      <w:pPr>
        <w:autoSpaceDE w:val="0"/>
        <w:autoSpaceDN w:val="0"/>
        <w:adjustRightInd w:val="0"/>
        <w:ind w:left="200"/>
        <w:jc w:val="left"/>
        <w:rPr>
          <w:rFonts w:ascii="宋体" w:cs="宋体"/>
          <w:kern w:val="0"/>
          <w:sz w:val="18"/>
          <w:szCs w:val="18"/>
          <w:lang w:val="zh-CN"/>
        </w:rPr>
      </w:pPr>
    </w:p>
    <w:bookmarkEnd w:id="1"/>
    <w:p w:rsidR="00E97843" w:rsidRPr="00C24BF5" w:rsidRDefault="00E97843" w:rsidP="00C24BF5">
      <w:pPr>
        <w:ind w:firstLine="640"/>
        <w:rPr>
          <w:rFonts w:ascii="黑体" w:eastAsia="黑体" w:hAnsi="黑体"/>
          <w:sz w:val="32"/>
          <w:szCs w:val="32"/>
        </w:rPr>
      </w:pPr>
      <w:r w:rsidRPr="00C24BF5">
        <w:rPr>
          <w:rFonts w:ascii="黑体" w:eastAsia="黑体" w:hAnsi="黑体" w:hint="eastAsia"/>
          <w:sz w:val="32"/>
          <w:szCs w:val="32"/>
        </w:rPr>
        <w:t>六、政府采购预算情况</w:t>
      </w:r>
    </w:p>
    <w:p w:rsidR="00E97843" w:rsidRPr="00A6627D" w:rsidRDefault="00E97843" w:rsidP="00415CB8">
      <w:pPr>
        <w:widowControl/>
        <w:shd w:val="clear" w:color="auto" w:fill="FFFFFF"/>
        <w:spacing w:line="580" w:lineRule="atLeast"/>
        <w:ind w:firstLine="640"/>
        <w:jc w:val="left"/>
        <w:rPr>
          <w:rFonts w:ascii="仿宋" w:eastAsia="仿宋" w:hAnsi="仿宋"/>
          <w:sz w:val="32"/>
          <w:szCs w:val="32"/>
        </w:rPr>
      </w:pPr>
      <w:bookmarkStart w:id="3" w:name="_Toc471398468"/>
      <w:r w:rsidRPr="00C24BF5">
        <w:rPr>
          <w:rFonts w:ascii="宋体" w:hAnsi="宋体"/>
          <w:sz w:val="32"/>
          <w:szCs w:val="32"/>
        </w:rPr>
        <w:t xml:space="preserve">  </w:t>
      </w:r>
      <w:bookmarkEnd w:id="3"/>
      <w:r w:rsidRPr="00A6627D">
        <w:rPr>
          <w:rFonts w:ascii="仿宋" w:eastAsia="仿宋" w:hAnsi="仿宋" w:hint="eastAsia"/>
          <w:sz w:val="32"/>
          <w:szCs w:val="32"/>
        </w:rPr>
        <w:t>本年度部门预算共计安排政府采购项目为</w:t>
      </w:r>
      <w:r>
        <w:rPr>
          <w:rFonts w:ascii="仿宋" w:eastAsia="仿宋" w:hAnsi="仿宋"/>
          <w:sz w:val="32"/>
          <w:szCs w:val="32"/>
        </w:rPr>
        <w:t>0</w:t>
      </w:r>
      <w:r w:rsidRPr="00A6627D">
        <w:rPr>
          <w:rFonts w:ascii="仿宋" w:eastAsia="仿宋" w:hAnsi="仿宋" w:hint="eastAsia"/>
          <w:sz w:val="32"/>
          <w:szCs w:val="32"/>
        </w:rPr>
        <w:t>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万元，其中</w:t>
      </w:r>
      <w:r>
        <w:rPr>
          <w:rFonts w:ascii="仿宋" w:eastAsia="仿宋" w:hAnsi="仿宋" w:hint="eastAsia"/>
          <w:sz w:val="32"/>
          <w:szCs w:val="32"/>
        </w:rPr>
        <w:t>：</w:t>
      </w:r>
      <w:r w:rsidRPr="00A6627D">
        <w:rPr>
          <w:rFonts w:ascii="仿宋" w:eastAsia="仿宋" w:hAnsi="仿宋" w:hint="eastAsia"/>
          <w:sz w:val="32"/>
          <w:szCs w:val="32"/>
        </w:rPr>
        <w:t>货物类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Pr>
          <w:rFonts w:ascii="仿宋" w:eastAsia="仿宋" w:hAnsi="仿宋" w:hint="eastAsia"/>
          <w:sz w:val="32"/>
          <w:szCs w:val="32"/>
        </w:rPr>
        <w:t>万元</w:t>
      </w:r>
      <w:r w:rsidRPr="00A6627D">
        <w:rPr>
          <w:rFonts w:ascii="仿宋" w:eastAsia="仿宋" w:hAnsi="仿宋" w:hint="eastAsia"/>
          <w:sz w:val="32"/>
          <w:szCs w:val="32"/>
        </w:rPr>
        <w:t>；工程类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Pr>
          <w:rFonts w:ascii="仿宋" w:eastAsia="仿宋" w:hAnsi="仿宋" w:hint="eastAsia"/>
          <w:sz w:val="32"/>
          <w:szCs w:val="32"/>
        </w:rPr>
        <w:t>万元</w:t>
      </w:r>
      <w:r w:rsidRPr="00A6627D">
        <w:rPr>
          <w:rFonts w:ascii="仿宋" w:eastAsia="仿宋" w:hAnsi="仿宋" w:hint="eastAsia"/>
          <w:sz w:val="32"/>
          <w:szCs w:val="32"/>
        </w:rPr>
        <w:t>；服务类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w:t>
      </w:r>
    </w:p>
    <w:p w:rsidR="00E97843" w:rsidRPr="00C24BF5" w:rsidRDefault="00E97843" w:rsidP="00E366C6">
      <w:pPr>
        <w:jc w:val="center"/>
        <w:outlineLvl w:val="0"/>
        <w:rPr>
          <w:rFonts w:asci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1"/>
        <w:gridCol w:w="1066"/>
        <w:gridCol w:w="879"/>
        <w:gridCol w:w="1398"/>
        <w:gridCol w:w="879"/>
        <w:gridCol w:w="879"/>
        <w:gridCol w:w="902"/>
        <w:gridCol w:w="899"/>
        <w:gridCol w:w="899"/>
        <w:gridCol w:w="899"/>
        <w:gridCol w:w="818"/>
        <w:gridCol w:w="881"/>
        <w:gridCol w:w="881"/>
        <w:gridCol w:w="826"/>
      </w:tblGrid>
      <w:tr w:rsidR="00E97843" w:rsidRPr="007851C6" w:rsidTr="00995E78">
        <w:trPr>
          <w:tblHeader/>
          <w:jc w:val="center"/>
        </w:trPr>
        <w:tc>
          <w:tcPr>
            <w:tcW w:w="2895" w:type="pct"/>
            <w:gridSpan w:val="7"/>
            <w:tcBorders>
              <w:top w:val="single" w:sz="6" w:space="0" w:color="FFFFFF"/>
              <w:left w:val="single" w:sz="6" w:space="0" w:color="FFFFFF"/>
              <w:right w:val="single" w:sz="6" w:space="0" w:color="FFFFFF"/>
            </w:tcBorders>
            <w:vAlign w:val="center"/>
          </w:tcPr>
          <w:p w:rsidR="00E97843" w:rsidRPr="001245BB" w:rsidRDefault="00E97843" w:rsidP="00E366C6">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 xml:space="preserve">322   </w:t>
            </w:r>
            <w:r>
              <w:rPr>
                <w:rFonts w:ascii="方正小标宋_GBK" w:eastAsia="方正小标宋_GBK" w:hAnsi="Times New Roman" w:hint="eastAsia"/>
                <w:sz w:val="18"/>
                <w:szCs w:val="18"/>
              </w:rPr>
              <w:t>香河县商务局部门</w:t>
            </w:r>
          </w:p>
        </w:tc>
        <w:tc>
          <w:tcPr>
            <w:tcW w:w="2105" w:type="pct"/>
            <w:gridSpan w:val="7"/>
            <w:tcBorders>
              <w:top w:val="single" w:sz="6" w:space="0" w:color="FFFFFF"/>
              <w:left w:val="single" w:sz="6" w:space="0" w:color="FFFFFF"/>
              <w:right w:val="single" w:sz="6" w:space="0" w:color="FFFFFF"/>
            </w:tcBorders>
            <w:vAlign w:val="center"/>
          </w:tcPr>
          <w:p w:rsidR="00E97843" w:rsidRPr="001245BB" w:rsidRDefault="00E97843" w:rsidP="00995E78">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E97843" w:rsidRPr="007851C6" w:rsidTr="00995E78">
        <w:trPr>
          <w:tblHeader/>
          <w:jc w:val="center"/>
        </w:trPr>
        <w:tc>
          <w:tcPr>
            <w:tcW w:w="1193" w:type="pct"/>
            <w:gridSpan w:val="2"/>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E97843" w:rsidRPr="007851C6" w:rsidTr="00995E78">
        <w:trPr>
          <w:tblHeader/>
          <w:jc w:val="center"/>
        </w:trPr>
        <w:tc>
          <w:tcPr>
            <w:tcW w:w="825"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482"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10"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10"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E97843" w:rsidRPr="007851C6" w:rsidTr="00995E78">
        <w:trPr>
          <w:tblHeader/>
          <w:jc w:val="center"/>
        </w:trPr>
        <w:tc>
          <w:tcPr>
            <w:tcW w:w="825"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67"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482"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03"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10"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10" w:type="pct"/>
            <w:vMerge/>
            <w:vAlign w:val="center"/>
          </w:tcPr>
          <w:p w:rsidR="00E97843" w:rsidRPr="001245BB" w:rsidRDefault="00E97843" w:rsidP="00995E78">
            <w:pPr>
              <w:spacing w:line="300" w:lineRule="exact"/>
              <w:jc w:val="left"/>
              <w:outlineLvl w:val="0"/>
              <w:rPr>
                <w:rFonts w:ascii="Times New Roman" w:hAnsi="Times New Roman"/>
                <w:szCs w:val="24"/>
              </w:rPr>
            </w:pPr>
          </w:p>
        </w:tc>
        <w:tc>
          <w:tcPr>
            <w:tcW w:w="310"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E97843" w:rsidRPr="001245BB" w:rsidRDefault="00E97843" w:rsidP="00995E78">
            <w:pPr>
              <w:spacing w:line="300" w:lineRule="exact"/>
              <w:jc w:val="left"/>
              <w:outlineLvl w:val="0"/>
              <w:rPr>
                <w:rFonts w:ascii="Times New Roman" w:hAnsi="Times New Roman"/>
                <w:szCs w:val="24"/>
              </w:rPr>
            </w:pPr>
          </w:p>
        </w:tc>
      </w:tr>
      <w:tr w:rsidR="00E97843" w:rsidRPr="007851C6" w:rsidTr="00995E78">
        <w:trPr>
          <w:jc w:val="center"/>
        </w:trPr>
        <w:tc>
          <w:tcPr>
            <w:tcW w:w="825" w:type="pct"/>
            <w:vAlign w:val="center"/>
          </w:tcPr>
          <w:p w:rsidR="00E97843" w:rsidRPr="001245BB" w:rsidRDefault="00E97843" w:rsidP="00995E7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482"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282"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286" w:type="pct"/>
            <w:vAlign w:val="center"/>
          </w:tcPr>
          <w:p w:rsidR="00E97843" w:rsidRPr="001245BB" w:rsidRDefault="00E97843" w:rsidP="00995E78">
            <w:pPr>
              <w:spacing w:line="300" w:lineRule="exact"/>
              <w:jc w:val="right"/>
              <w:rPr>
                <w:rFonts w:ascii="方正书宋_GBK" w:eastAsia="方正书宋_GBK" w:hAnsi="Times New Roman"/>
                <w:b/>
                <w:szCs w:val="24"/>
              </w:rPr>
            </w:pPr>
          </w:p>
        </w:tc>
      </w:tr>
      <w:tr w:rsidR="00E97843" w:rsidRPr="007851C6" w:rsidTr="00995E78">
        <w:trPr>
          <w:jc w:val="center"/>
        </w:trPr>
        <w:tc>
          <w:tcPr>
            <w:tcW w:w="825" w:type="pct"/>
            <w:vAlign w:val="center"/>
          </w:tcPr>
          <w:p w:rsidR="00E97843" w:rsidRPr="001245BB" w:rsidRDefault="00E97843" w:rsidP="00995E78">
            <w:pPr>
              <w:spacing w:line="300" w:lineRule="exact"/>
              <w:jc w:val="center"/>
              <w:rPr>
                <w:rFonts w:ascii="方正书宋_GBK" w:eastAsia="方正书宋_GBK" w:hAnsi="Times New Roman"/>
                <w:b/>
                <w:szCs w:val="24"/>
              </w:rPr>
            </w:pPr>
          </w:p>
        </w:tc>
        <w:tc>
          <w:tcPr>
            <w:tcW w:w="367"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482"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b/>
                <w:szCs w:val="24"/>
              </w:rPr>
            </w:pPr>
          </w:p>
        </w:tc>
        <w:tc>
          <w:tcPr>
            <w:tcW w:w="303"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282"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b/>
                <w:szCs w:val="24"/>
              </w:rPr>
            </w:pPr>
          </w:p>
        </w:tc>
        <w:tc>
          <w:tcPr>
            <w:tcW w:w="286" w:type="pct"/>
            <w:vAlign w:val="center"/>
          </w:tcPr>
          <w:p w:rsidR="00E97843" w:rsidRPr="001245BB" w:rsidRDefault="00E97843" w:rsidP="00995E78">
            <w:pPr>
              <w:spacing w:line="300" w:lineRule="exact"/>
              <w:jc w:val="right"/>
              <w:rPr>
                <w:rFonts w:ascii="方正书宋_GBK" w:eastAsia="方正书宋_GBK" w:hAnsi="Times New Roman"/>
                <w:b/>
                <w:szCs w:val="24"/>
              </w:rPr>
            </w:pPr>
          </w:p>
        </w:tc>
      </w:tr>
      <w:tr w:rsidR="00E97843" w:rsidRPr="007851C6" w:rsidTr="00995E78">
        <w:trPr>
          <w:jc w:val="center"/>
        </w:trPr>
        <w:tc>
          <w:tcPr>
            <w:tcW w:w="825"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67"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482"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282"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286" w:type="pct"/>
            <w:vAlign w:val="center"/>
          </w:tcPr>
          <w:p w:rsidR="00E97843" w:rsidRPr="001245BB" w:rsidRDefault="00E97843" w:rsidP="00995E78">
            <w:pPr>
              <w:spacing w:line="300" w:lineRule="exact"/>
              <w:jc w:val="right"/>
              <w:rPr>
                <w:rFonts w:ascii="方正书宋_GBK" w:eastAsia="方正书宋_GBK" w:hAnsi="Times New Roman"/>
                <w:szCs w:val="24"/>
              </w:rPr>
            </w:pPr>
          </w:p>
        </w:tc>
      </w:tr>
      <w:tr w:rsidR="00E97843" w:rsidRPr="007851C6" w:rsidTr="00995E78">
        <w:trPr>
          <w:jc w:val="center"/>
        </w:trPr>
        <w:tc>
          <w:tcPr>
            <w:tcW w:w="825"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67"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482"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left"/>
              <w:rPr>
                <w:rFonts w:ascii="方正书宋_GBK" w:eastAsia="方正书宋_GBK" w:hAnsi="Times New Roman"/>
                <w:szCs w:val="24"/>
              </w:rPr>
            </w:pPr>
          </w:p>
        </w:tc>
        <w:tc>
          <w:tcPr>
            <w:tcW w:w="303"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10"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282"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304" w:type="pct"/>
            <w:vAlign w:val="center"/>
          </w:tcPr>
          <w:p w:rsidR="00E97843" w:rsidRPr="001245BB" w:rsidRDefault="00E97843" w:rsidP="00995E78">
            <w:pPr>
              <w:spacing w:line="300" w:lineRule="exact"/>
              <w:jc w:val="right"/>
              <w:rPr>
                <w:rFonts w:ascii="方正书宋_GBK" w:eastAsia="方正书宋_GBK" w:hAnsi="Times New Roman"/>
                <w:szCs w:val="24"/>
              </w:rPr>
            </w:pPr>
          </w:p>
        </w:tc>
        <w:tc>
          <w:tcPr>
            <w:tcW w:w="286" w:type="pct"/>
            <w:vAlign w:val="center"/>
          </w:tcPr>
          <w:p w:rsidR="00E97843" w:rsidRPr="001245BB" w:rsidRDefault="00E97843" w:rsidP="00995E78">
            <w:pPr>
              <w:spacing w:line="300" w:lineRule="exact"/>
              <w:jc w:val="right"/>
              <w:rPr>
                <w:rFonts w:ascii="方正书宋_GBK" w:eastAsia="方正书宋_GBK" w:hAnsi="Times New Roman"/>
                <w:szCs w:val="24"/>
              </w:rPr>
            </w:pPr>
          </w:p>
        </w:tc>
      </w:tr>
    </w:tbl>
    <w:p w:rsidR="00E97843" w:rsidRPr="00042130" w:rsidRDefault="00E97843" w:rsidP="00E366C6">
      <w:pPr>
        <w:pStyle w:val="PlainText"/>
        <w:rPr>
          <w:rFonts w:hAnsi="宋体" w:cs="宋体"/>
        </w:rPr>
      </w:pPr>
    </w:p>
    <w:p w:rsidR="00E97843" w:rsidRPr="00C24BF5" w:rsidRDefault="00E97843" w:rsidP="00415CB8">
      <w:pPr>
        <w:autoSpaceDE w:val="0"/>
        <w:autoSpaceDN w:val="0"/>
        <w:adjustRightInd w:val="0"/>
        <w:ind w:left="198" w:firstLineChars="200" w:firstLine="640"/>
        <w:jc w:val="left"/>
        <w:rPr>
          <w:rFonts w:ascii="黑体" w:eastAsia="黑体" w:hAnsi="黑体"/>
          <w:sz w:val="32"/>
          <w:szCs w:val="32"/>
        </w:rPr>
      </w:pPr>
      <w:r w:rsidRPr="00C24BF5">
        <w:rPr>
          <w:rFonts w:ascii="黑体" w:eastAsia="黑体" w:hAnsi="黑体" w:hint="eastAsia"/>
          <w:sz w:val="32"/>
          <w:szCs w:val="32"/>
        </w:rPr>
        <w:t>七、国有资产信息</w:t>
      </w:r>
    </w:p>
    <w:p w:rsidR="00E97843" w:rsidRPr="00AA71ED" w:rsidRDefault="00E97843" w:rsidP="004B37C2">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商务局</w:t>
      </w:r>
      <w:r w:rsidRPr="00AA71ED">
        <w:rPr>
          <w:rFonts w:ascii="仿宋" w:eastAsia="仿宋" w:hAnsi="仿宋" w:hint="eastAsia"/>
          <w:sz w:val="32"/>
          <w:szCs w:val="32"/>
        </w:rPr>
        <w:t>（含所属单位）上年末固定资产金额为</w:t>
      </w:r>
      <w:r>
        <w:rPr>
          <w:rFonts w:ascii="仿宋" w:eastAsia="仿宋" w:hAnsi="仿宋"/>
          <w:sz w:val="32"/>
          <w:szCs w:val="32"/>
        </w:rPr>
        <w:t>17</w:t>
      </w:r>
      <w:r w:rsidRPr="00AA71ED">
        <w:rPr>
          <w:rFonts w:ascii="仿宋" w:eastAsia="仿宋" w:hAnsi="仿宋" w:hint="eastAsia"/>
          <w:sz w:val="32"/>
          <w:szCs w:val="32"/>
        </w:rPr>
        <w:t>万元，本年度各单位（处室）</w:t>
      </w:r>
      <w:r>
        <w:rPr>
          <w:rFonts w:ascii="仿宋" w:eastAsia="仿宋" w:hAnsi="仿宋" w:hint="eastAsia"/>
          <w:sz w:val="32"/>
          <w:szCs w:val="32"/>
        </w:rPr>
        <w:t>没有</w:t>
      </w:r>
      <w:r w:rsidRPr="00AA71ED">
        <w:rPr>
          <w:rFonts w:ascii="仿宋" w:eastAsia="仿宋" w:hAnsi="仿宋" w:hint="eastAsia"/>
          <w:sz w:val="32"/>
          <w:szCs w:val="32"/>
        </w:rPr>
        <w:t>拟购置固定资产</w:t>
      </w:r>
      <w:r>
        <w:rPr>
          <w:rFonts w:ascii="仿宋" w:eastAsia="仿宋" w:hAnsi="仿宋" w:hint="eastAsia"/>
          <w:sz w:val="32"/>
          <w:szCs w:val="32"/>
        </w:rPr>
        <w:t>。</w:t>
      </w:r>
    </w:p>
    <w:p w:rsidR="00E97843" w:rsidRPr="00AA71ED" w:rsidRDefault="00E97843" w:rsidP="00296113">
      <w:pPr>
        <w:ind w:firstLine="640"/>
        <w:rPr>
          <w:rFonts w:ascii="仿宋" w:eastAsia="仿宋" w:hAnsi="仿宋"/>
          <w:sz w:val="32"/>
          <w:szCs w:val="32"/>
        </w:rPr>
      </w:pPr>
    </w:p>
    <w:tbl>
      <w:tblPr>
        <w:tblW w:w="13482" w:type="dxa"/>
        <w:tblInd w:w="93" w:type="dxa"/>
        <w:tblLook w:val="00A0"/>
      </w:tblPr>
      <w:tblGrid>
        <w:gridCol w:w="5224"/>
        <w:gridCol w:w="3155"/>
        <w:gridCol w:w="5103"/>
      </w:tblGrid>
      <w:tr w:rsidR="00E97843" w:rsidRPr="002C7F90" w:rsidTr="00296113">
        <w:trPr>
          <w:trHeight w:val="705"/>
        </w:trPr>
        <w:tc>
          <w:tcPr>
            <w:tcW w:w="13482" w:type="dxa"/>
            <w:gridSpan w:val="3"/>
            <w:tcBorders>
              <w:top w:val="nil"/>
              <w:left w:val="nil"/>
              <w:bottom w:val="nil"/>
              <w:right w:val="nil"/>
            </w:tcBorders>
            <w:noWrap/>
            <w:vAlign w:val="center"/>
          </w:tcPr>
          <w:p w:rsidR="00E97843" w:rsidRPr="002C7F90" w:rsidRDefault="00E97843" w:rsidP="00296113">
            <w:pPr>
              <w:widowControl/>
              <w:jc w:val="center"/>
              <w:rPr>
                <w:rFonts w:ascii="宋体" w:cs="宋体"/>
                <w:b/>
                <w:bCs/>
                <w:kern w:val="0"/>
                <w:sz w:val="32"/>
                <w:szCs w:val="32"/>
              </w:rPr>
            </w:pPr>
            <w:r w:rsidRPr="002C7F90">
              <w:rPr>
                <w:rFonts w:ascii="宋体" w:hAnsi="宋体" w:cs="宋体" w:hint="eastAsia"/>
                <w:b/>
                <w:bCs/>
                <w:kern w:val="0"/>
                <w:sz w:val="32"/>
                <w:szCs w:val="32"/>
              </w:rPr>
              <w:t>部门固定资产占用情况表</w:t>
            </w:r>
          </w:p>
        </w:tc>
      </w:tr>
      <w:tr w:rsidR="00E97843" w:rsidRPr="002C7F90" w:rsidTr="00296113">
        <w:trPr>
          <w:trHeight w:val="510"/>
        </w:trPr>
        <w:tc>
          <w:tcPr>
            <w:tcW w:w="8379" w:type="dxa"/>
            <w:gridSpan w:val="2"/>
            <w:tcBorders>
              <w:top w:val="nil"/>
              <w:left w:val="nil"/>
              <w:bottom w:val="nil"/>
              <w:right w:val="nil"/>
            </w:tcBorders>
            <w:noWrap/>
            <w:vAlign w:val="center"/>
          </w:tcPr>
          <w:p w:rsidR="00E97843" w:rsidRPr="00296113" w:rsidRDefault="00E97843"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香河县商务局</w:t>
            </w:r>
          </w:p>
        </w:tc>
        <w:tc>
          <w:tcPr>
            <w:tcW w:w="5103" w:type="dxa"/>
            <w:tcBorders>
              <w:top w:val="nil"/>
              <w:left w:val="nil"/>
              <w:bottom w:val="nil"/>
              <w:right w:val="nil"/>
            </w:tcBorders>
            <w:noWrap/>
            <w:vAlign w:val="center"/>
          </w:tcPr>
          <w:p w:rsidR="00E97843" w:rsidRPr="00296113" w:rsidRDefault="00E97843" w:rsidP="00040F5F">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E97843" w:rsidRPr="002C7F90"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E97843" w:rsidRPr="00296113" w:rsidRDefault="00E97843"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r>
              <w:rPr>
                <w:rFonts w:ascii="宋体" w:cs="宋体"/>
                <w:kern w:val="0"/>
                <w:sz w:val="22"/>
              </w:rPr>
              <w:t>17</w:t>
            </w: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97843" w:rsidRPr="00296113" w:rsidRDefault="00E97843"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97843" w:rsidRPr="00296113" w:rsidRDefault="00E97843"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97843" w:rsidRPr="00296113" w:rsidRDefault="00E97843"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r>
              <w:rPr>
                <w:rFonts w:ascii="宋体" w:cs="宋体"/>
                <w:kern w:val="0"/>
                <w:sz w:val="22"/>
              </w:rPr>
              <w:t>17</w:t>
            </w: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vAlign w:val="center"/>
          </w:tcPr>
          <w:p w:rsidR="00E97843" w:rsidRPr="00296113" w:rsidRDefault="00E97843"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r>
      <w:tr w:rsidR="00E97843" w:rsidRPr="002C7F9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E97843" w:rsidRPr="00296113" w:rsidRDefault="00E97843"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97843" w:rsidRPr="00296113" w:rsidRDefault="00E97843" w:rsidP="00296113">
            <w:pPr>
              <w:widowControl/>
              <w:jc w:val="center"/>
              <w:rPr>
                <w:rFonts w:ascii="宋体" w:cs="宋体"/>
                <w:kern w:val="0"/>
                <w:sz w:val="22"/>
              </w:rPr>
            </w:pPr>
          </w:p>
        </w:tc>
      </w:tr>
    </w:tbl>
    <w:p w:rsidR="00E97843" w:rsidRPr="00C24BF5" w:rsidRDefault="00E97843"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E97843" w:rsidRPr="00207CAD" w:rsidRDefault="00E97843" w:rsidP="00450F8F">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E97843" w:rsidRPr="00207CAD" w:rsidRDefault="00E97843"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E97843" w:rsidRPr="00207CAD" w:rsidRDefault="00E97843"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E97843" w:rsidRPr="00207CAD" w:rsidRDefault="00E97843"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E97843" w:rsidRPr="00207CAD" w:rsidRDefault="00E97843" w:rsidP="00F71E48">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E97843" w:rsidRPr="00207CAD" w:rsidRDefault="00E97843" w:rsidP="00F71E48">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E97843" w:rsidRPr="00207CAD" w:rsidRDefault="00E97843"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97843" w:rsidRDefault="00E97843" w:rsidP="00F71E48">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E97843" w:rsidRPr="00C24BF5" w:rsidRDefault="00E97843" w:rsidP="00F71E48">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E97843" w:rsidRPr="00AA71ED" w:rsidRDefault="00E97843" w:rsidP="00C24BF5">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sectPr w:rsidR="00E97843"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43" w:rsidRDefault="00E97843" w:rsidP="008C2BAF">
      <w:r>
        <w:separator/>
      </w:r>
    </w:p>
  </w:endnote>
  <w:endnote w:type="continuationSeparator" w:id="0">
    <w:p w:rsidR="00E97843" w:rsidRDefault="00E97843" w:rsidP="008C2BAF">
      <w:r>
        <w:continuationSeparator/>
      </w:r>
    </w:p>
  </w:endnote>
</w:endnotes>
</file>

<file path=word/fontTable.xml><?xml version="1.0" encoding="utf-8"?>
<w:fonts xmlns:r="http://schemas.openxmlformats.org/officeDocument/2006/relationships" xmlns:w="http://schemas.openxmlformats.org/wordprocessingml/2006/main">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roman"/>
    <w:notTrueType/>
    <w:pitch w:val="default"/>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43" w:rsidRDefault="00E97843" w:rsidP="008C2BAF">
      <w:r>
        <w:separator/>
      </w:r>
    </w:p>
  </w:footnote>
  <w:footnote w:type="continuationSeparator" w:id="0">
    <w:p w:rsidR="00E97843" w:rsidRDefault="00E97843" w:rsidP="008C2BAF">
      <w:r>
        <w:continuationSeparator/>
      </w:r>
    </w:p>
  </w:footnote>
  <w:footnote w:id="1">
    <w:p w:rsidR="00E97843" w:rsidRDefault="00E97843" w:rsidP="00AA49E8">
      <w:pPr>
        <w:pStyle w:val="FootnoteText"/>
      </w:pPr>
      <w:r w:rsidRPr="009D7FD2">
        <w:rPr>
          <w:rStyle w:val="FootnoteReference"/>
        </w:rPr>
        <w:sym w:font="Symbol" w:char="F020"/>
      </w:r>
      <w:r w:rsidRPr="009D7FD2">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634"/>
    <w:multiLevelType w:val="multilevel"/>
    <w:tmpl w:val="19FE6634"/>
    <w:lvl w:ilvl="0">
      <w:start w:val="1"/>
      <w:numFmt w:val="decimal"/>
      <w:lvlText w:val="%1."/>
      <w:lvlJc w:val="left"/>
      <w:pPr>
        <w:tabs>
          <w:tab w:val="left" w:pos="1170"/>
        </w:tabs>
        <w:ind w:left="1170" w:hanging="435"/>
      </w:pPr>
      <w:rPr>
        <w:rFonts w:ascii="仿宋" w:eastAsia="仿宋" w:hAnsi="仿宋" w:cs="Times New Roman" w:hint="default"/>
        <w:sz w:val="32"/>
      </w:rPr>
    </w:lvl>
    <w:lvl w:ilvl="1">
      <w:start w:val="1"/>
      <w:numFmt w:val="lowerLetter"/>
      <w:lvlText w:val="%2)"/>
      <w:lvlJc w:val="left"/>
      <w:pPr>
        <w:tabs>
          <w:tab w:val="left" w:pos="1575"/>
        </w:tabs>
        <w:ind w:left="1575" w:hanging="420"/>
      </w:pPr>
      <w:rPr>
        <w:rFonts w:cs="Times New Roman"/>
      </w:rPr>
    </w:lvl>
    <w:lvl w:ilvl="2">
      <w:start w:val="1"/>
      <w:numFmt w:val="lowerRoman"/>
      <w:lvlText w:val="%3."/>
      <w:lvlJc w:val="right"/>
      <w:pPr>
        <w:tabs>
          <w:tab w:val="left" w:pos="1995"/>
        </w:tabs>
        <w:ind w:left="1995" w:hanging="420"/>
      </w:pPr>
      <w:rPr>
        <w:rFonts w:cs="Times New Roman"/>
      </w:rPr>
    </w:lvl>
    <w:lvl w:ilvl="3">
      <w:start w:val="1"/>
      <w:numFmt w:val="decimal"/>
      <w:lvlText w:val="%4."/>
      <w:lvlJc w:val="left"/>
      <w:pPr>
        <w:tabs>
          <w:tab w:val="left" w:pos="2415"/>
        </w:tabs>
        <w:ind w:left="2415" w:hanging="420"/>
      </w:pPr>
      <w:rPr>
        <w:rFonts w:cs="Times New Roman"/>
      </w:rPr>
    </w:lvl>
    <w:lvl w:ilvl="4">
      <w:start w:val="1"/>
      <w:numFmt w:val="lowerLetter"/>
      <w:lvlText w:val="%5)"/>
      <w:lvlJc w:val="left"/>
      <w:pPr>
        <w:tabs>
          <w:tab w:val="left" w:pos="2835"/>
        </w:tabs>
        <w:ind w:left="2835" w:hanging="420"/>
      </w:pPr>
      <w:rPr>
        <w:rFonts w:cs="Times New Roman"/>
      </w:rPr>
    </w:lvl>
    <w:lvl w:ilvl="5">
      <w:start w:val="1"/>
      <w:numFmt w:val="lowerRoman"/>
      <w:lvlText w:val="%6."/>
      <w:lvlJc w:val="right"/>
      <w:pPr>
        <w:tabs>
          <w:tab w:val="left" w:pos="3255"/>
        </w:tabs>
        <w:ind w:left="3255" w:hanging="420"/>
      </w:pPr>
      <w:rPr>
        <w:rFonts w:cs="Times New Roman"/>
      </w:rPr>
    </w:lvl>
    <w:lvl w:ilvl="6">
      <w:start w:val="1"/>
      <w:numFmt w:val="decimal"/>
      <w:lvlText w:val="%7."/>
      <w:lvlJc w:val="left"/>
      <w:pPr>
        <w:tabs>
          <w:tab w:val="left" w:pos="3675"/>
        </w:tabs>
        <w:ind w:left="3675" w:hanging="420"/>
      </w:pPr>
      <w:rPr>
        <w:rFonts w:cs="Times New Roman"/>
      </w:rPr>
    </w:lvl>
    <w:lvl w:ilvl="7">
      <w:start w:val="1"/>
      <w:numFmt w:val="lowerLetter"/>
      <w:lvlText w:val="%8)"/>
      <w:lvlJc w:val="left"/>
      <w:pPr>
        <w:tabs>
          <w:tab w:val="left" w:pos="4095"/>
        </w:tabs>
        <w:ind w:left="4095" w:hanging="420"/>
      </w:pPr>
      <w:rPr>
        <w:rFonts w:cs="Times New Roman"/>
      </w:rPr>
    </w:lvl>
    <w:lvl w:ilvl="8">
      <w:start w:val="1"/>
      <w:numFmt w:val="lowerRoman"/>
      <w:lvlText w:val="%9."/>
      <w:lvlJc w:val="right"/>
      <w:pPr>
        <w:tabs>
          <w:tab w:val="left" w:pos="4515"/>
        </w:tabs>
        <w:ind w:left="451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07CF2"/>
    <w:rsid w:val="000251F1"/>
    <w:rsid w:val="00026498"/>
    <w:rsid w:val="00037AF6"/>
    <w:rsid w:val="00040F5F"/>
    <w:rsid w:val="00042130"/>
    <w:rsid w:val="00045A61"/>
    <w:rsid w:val="00052587"/>
    <w:rsid w:val="00062DD6"/>
    <w:rsid w:val="000650DE"/>
    <w:rsid w:val="000751CD"/>
    <w:rsid w:val="00075D5F"/>
    <w:rsid w:val="0008405C"/>
    <w:rsid w:val="00093D80"/>
    <w:rsid w:val="000A63E7"/>
    <w:rsid w:val="000B04B5"/>
    <w:rsid w:val="000C3A19"/>
    <w:rsid w:val="001245BB"/>
    <w:rsid w:val="00125FBB"/>
    <w:rsid w:val="00153950"/>
    <w:rsid w:val="00174E1B"/>
    <w:rsid w:val="0018479D"/>
    <w:rsid w:val="001C1F53"/>
    <w:rsid w:val="001C2F11"/>
    <w:rsid w:val="001C7F60"/>
    <w:rsid w:val="00203698"/>
    <w:rsid w:val="00207CAD"/>
    <w:rsid w:val="00223272"/>
    <w:rsid w:val="0023198A"/>
    <w:rsid w:val="00241FD4"/>
    <w:rsid w:val="0024465C"/>
    <w:rsid w:val="00246DD9"/>
    <w:rsid w:val="002508C4"/>
    <w:rsid w:val="00251B12"/>
    <w:rsid w:val="00260879"/>
    <w:rsid w:val="00261354"/>
    <w:rsid w:val="002645FB"/>
    <w:rsid w:val="0026702D"/>
    <w:rsid w:val="00274B2E"/>
    <w:rsid w:val="00296113"/>
    <w:rsid w:val="002C200A"/>
    <w:rsid w:val="002C7F90"/>
    <w:rsid w:val="002D1476"/>
    <w:rsid w:val="002D3227"/>
    <w:rsid w:val="002D4AF7"/>
    <w:rsid w:val="002F0357"/>
    <w:rsid w:val="002F22FB"/>
    <w:rsid w:val="002F3E58"/>
    <w:rsid w:val="0030542C"/>
    <w:rsid w:val="00311B7A"/>
    <w:rsid w:val="0032370F"/>
    <w:rsid w:val="00332ABC"/>
    <w:rsid w:val="00353753"/>
    <w:rsid w:val="003A094E"/>
    <w:rsid w:val="003A095B"/>
    <w:rsid w:val="003E1A7F"/>
    <w:rsid w:val="003E23A5"/>
    <w:rsid w:val="003F49E7"/>
    <w:rsid w:val="00401A43"/>
    <w:rsid w:val="00415CB8"/>
    <w:rsid w:val="004341B3"/>
    <w:rsid w:val="00450F8F"/>
    <w:rsid w:val="00451871"/>
    <w:rsid w:val="004618DF"/>
    <w:rsid w:val="00472923"/>
    <w:rsid w:val="00493841"/>
    <w:rsid w:val="00497870"/>
    <w:rsid w:val="004B37C2"/>
    <w:rsid w:val="004E3066"/>
    <w:rsid w:val="004E74CD"/>
    <w:rsid w:val="004F6123"/>
    <w:rsid w:val="0051436D"/>
    <w:rsid w:val="00520CEC"/>
    <w:rsid w:val="0056326C"/>
    <w:rsid w:val="005632E5"/>
    <w:rsid w:val="00572603"/>
    <w:rsid w:val="00573562"/>
    <w:rsid w:val="00595C93"/>
    <w:rsid w:val="005A503A"/>
    <w:rsid w:val="005C1AEB"/>
    <w:rsid w:val="005C248A"/>
    <w:rsid w:val="005D68FF"/>
    <w:rsid w:val="006009A1"/>
    <w:rsid w:val="0060243A"/>
    <w:rsid w:val="00604508"/>
    <w:rsid w:val="00614A29"/>
    <w:rsid w:val="006402E3"/>
    <w:rsid w:val="0064384F"/>
    <w:rsid w:val="00646686"/>
    <w:rsid w:val="0069476A"/>
    <w:rsid w:val="006D6C8A"/>
    <w:rsid w:val="006E5AA3"/>
    <w:rsid w:val="007323EB"/>
    <w:rsid w:val="007469A3"/>
    <w:rsid w:val="0075393C"/>
    <w:rsid w:val="00757221"/>
    <w:rsid w:val="00776C08"/>
    <w:rsid w:val="007851C6"/>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C4EE7"/>
    <w:rsid w:val="008E4261"/>
    <w:rsid w:val="008F4662"/>
    <w:rsid w:val="00905D08"/>
    <w:rsid w:val="0091236C"/>
    <w:rsid w:val="0092035D"/>
    <w:rsid w:val="00925753"/>
    <w:rsid w:val="00927B0B"/>
    <w:rsid w:val="009668BA"/>
    <w:rsid w:val="00966C5C"/>
    <w:rsid w:val="00967BB9"/>
    <w:rsid w:val="00973104"/>
    <w:rsid w:val="00995E78"/>
    <w:rsid w:val="009A2998"/>
    <w:rsid w:val="009C119B"/>
    <w:rsid w:val="009D5BBA"/>
    <w:rsid w:val="009D5F94"/>
    <w:rsid w:val="009D7B23"/>
    <w:rsid w:val="009D7FD2"/>
    <w:rsid w:val="00A0035E"/>
    <w:rsid w:val="00A11219"/>
    <w:rsid w:val="00A25ECC"/>
    <w:rsid w:val="00A34D76"/>
    <w:rsid w:val="00A42475"/>
    <w:rsid w:val="00A6627D"/>
    <w:rsid w:val="00A662E9"/>
    <w:rsid w:val="00A72D2E"/>
    <w:rsid w:val="00A735D7"/>
    <w:rsid w:val="00A74833"/>
    <w:rsid w:val="00A911E7"/>
    <w:rsid w:val="00A939D9"/>
    <w:rsid w:val="00AA49E8"/>
    <w:rsid w:val="00AA71ED"/>
    <w:rsid w:val="00AB73CD"/>
    <w:rsid w:val="00AC285F"/>
    <w:rsid w:val="00AF60B3"/>
    <w:rsid w:val="00AF6B63"/>
    <w:rsid w:val="00B043C4"/>
    <w:rsid w:val="00B20712"/>
    <w:rsid w:val="00B31BA7"/>
    <w:rsid w:val="00B43238"/>
    <w:rsid w:val="00B75216"/>
    <w:rsid w:val="00B87119"/>
    <w:rsid w:val="00B91D52"/>
    <w:rsid w:val="00BA1ACD"/>
    <w:rsid w:val="00BA408B"/>
    <w:rsid w:val="00BA6C50"/>
    <w:rsid w:val="00C20230"/>
    <w:rsid w:val="00C2051A"/>
    <w:rsid w:val="00C21BCB"/>
    <w:rsid w:val="00C24BF5"/>
    <w:rsid w:val="00C53E90"/>
    <w:rsid w:val="00C720E3"/>
    <w:rsid w:val="00C8569A"/>
    <w:rsid w:val="00CA7176"/>
    <w:rsid w:val="00CC29EC"/>
    <w:rsid w:val="00CD2773"/>
    <w:rsid w:val="00CD326E"/>
    <w:rsid w:val="00CE143B"/>
    <w:rsid w:val="00CE403B"/>
    <w:rsid w:val="00CE5192"/>
    <w:rsid w:val="00CF2D57"/>
    <w:rsid w:val="00D361CD"/>
    <w:rsid w:val="00D61465"/>
    <w:rsid w:val="00D80DB8"/>
    <w:rsid w:val="00DA2FDB"/>
    <w:rsid w:val="00DD2E66"/>
    <w:rsid w:val="00E167C7"/>
    <w:rsid w:val="00E34FE6"/>
    <w:rsid w:val="00E366C6"/>
    <w:rsid w:val="00E62C34"/>
    <w:rsid w:val="00E84FEB"/>
    <w:rsid w:val="00E97843"/>
    <w:rsid w:val="00EA1931"/>
    <w:rsid w:val="00EC47F6"/>
    <w:rsid w:val="00EE1B43"/>
    <w:rsid w:val="00F153EF"/>
    <w:rsid w:val="00F34039"/>
    <w:rsid w:val="00F50E15"/>
    <w:rsid w:val="00F61055"/>
    <w:rsid w:val="00F6307C"/>
    <w:rsid w:val="00F66032"/>
    <w:rsid w:val="00F71E48"/>
    <w:rsid w:val="00F958C2"/>
    <w:rsid w:val="00F97E9E"/>
    <w:rsid w:val="00FB4CD3"/>
    <w:rsid w:val="00FC6357"/>
    <w:rsid w:val="00FD2081"/>
    <w:rsid w:val="00FE3D85"/>
    <w:rsid w:val="00FF31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kern w:val="0"/>
      <w:sz w:val="24"/>
      <w:szCs w:val="24"/>
    </w:rPr>
  </w:style>
  <w:style w:type="paragraph" w:styleId="PlainText">
    <w:name w:val="Plain Text"/>
    <w:basedOn w:val="Normal"/>
    <w:link w:val="PlainTextChar"/>
    <w:uiPriority w:val="99"/>
    <w:rsid w:val="00E366C6"/>
    <w:rPr>
      <w:rFonts w:ascii="宋体" w:hAnsi="Courier New" w:cs="Courier New"/>
      <w:szCs w:val="21"/>
    </w:rPr>
  </w:style>
  <w:style w:type="character" w:customStyle="1" w:styleId="PlainTextChar">
    <w:name w:val="Plain Text Char"/>
    <w:basedOn w:val="DefaultParagraphFont"/>
    <w:link w:val="PlainText"/>
    <w:uiPriority w:val="99"/>
    <w:locked/>
    <w:rsid w:val="00E366C6"/>
    <w:rPr>
      <w:rFonts w:ascii="宋体" w:hAnsi="Courier New" w:cs="Courier New"/>
      <w:kern w:val="2"/>
      <w:sz w:val="21"/>
      <w:szCs w:val="21"/>
    </w:rPr>
  </w:style>
  <w:style w:type="character" w:styleId="FootnoteReference">
    <w:name w:val="footnote reference"/>
    <w:basedOn w:val="DefaultParagraphFont"/>
    <w:uiPriority w:val="99"/>
    <w:semiHidden/>
    <w:rsid w:val="00AA49E8"/>
    <w:rPr>
      <w:rFonts w:cs="Times New Roman"/>
      <w:vertAlign w:val="superscript"/>
    </w:rPr>
  </w:style>
  <w:style w:type="paragraph" w:styleId="FootnoteText">
    <w:name w:val="footnote text"/>
    <w:basedOn w:val="Normal"/>
    <w:link w:val="FootnoteTextChar"/>
    <w:uiPriority w:val="99"/>
    <w:semiHidden/>
    <w:rsid w:val="00AA49E8"/>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AA49E8"/>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78546048">
      <w:marLeft w:val="0"/>
      <w:marRight w:val="0"/>
      <w:marTop w:val="0"/>
      <w:marBottom w:val="0"/>
      <w:divBdr>
        <w:top w:val="none" w:sz="0" w:space="0" w:color="auto"/>
        <w:left w:val="none" w:sz="0" w:space="0" w:color="auto"/>
        <w:bottom w:val="none" w:sz="0" w:space="0" w:color="auto"/>
        <w:right w:val="none" w:sz="0" w:space="0" w:color="auto"/>
      </w:divBdr>
    </w:div>
    <w:div w:id="478546049">
      <w:marLeft w:val="0"/>
      <w:marRight w:val="0"/>
      <w:marTop w:val="0"/>
      <w:marBottom w:val="0"/>
      <w:divBdr>
        <w:top w:val="none" w:sz="0" w:space="0" w:color="auto"/>
        <w:left w:val="none" w:sz="0" w:space="0" w:color="auto"/>
        <w:bottom w:val="none" w:sz="0" w:space="0" w:color="auto"/>
        <w:right w:val="none" w:sz="0" w:space="0" w:color="auto"/>
      </w:divBdr>
    </w:div>
    <w:div w:id="478546050">
      <w:marLeft w:val="0"/>
      <w:marRight w:val="0"/>
      <w:marTop w:val="0"/>
      <w:marBottom w:val="0"/>
      <w:divBdr>
        <w:top w:val="none" w:sz="0" w:space="0" w:color="auto"/>
        <w:left w:val="none" w:sz="0" w:space="0" w:color="auto"/>
        <w:bottom w:val="none" w:sz="0" w:space="0" w:color="auto"/>
        <w:right w:val="none" w:sz="0" w:space="0" w:color="auto"/>
      </w:divBdr>
    </w:div>
    <w:div w:id="478546051">
      <w:marLeft w:val="0"/>
      <w:marRight w:val="0"/>
      <w:marTop w:val="0"/>
      <w:marBottom w:val="0"/>
      <w:divBdr>
        <w:top w:val="none" w:sz="0" w:space="0" w:color="auto"/>
        <w:left w:val="none" w:sz="0" w:space="0" w:color="auto"/>
        <w:bottom w:val="none" w:sz="0" w:space="0" w:color="auto"/>
        <w:right w:val="none" w:sz="0" w:space="0" w:color="auto"/>
      </w:divBdr>
    </w:div>
    <w:div w:id="478546052">
      <w:marLeft w:val="0"/>
      <w:marRight w:val="0"/>
      <w:marTop w:val="0"/>
      <w:marBottom w:val="0"/>
      <w:divBdr>
        <w:top w:val="none" w:sz="0" w:space="0" w:color="auto"/>
        <w:left w:val="none" w:sz="0" w:space="0" w:color="auto"/>
        <w:bottom w:val="none" w:sz="0" w:space="0" w:color="auto"/>
        <w:right w:val="none" w:sz="0" w:space="0" w:color="auto"/>
      </w:divBdr>
    </w:div>
    <w:div w:id="478546053">
      <w:marLeft w:val="0"/>
      <w:marRight w:val="0"/>
      <w:marTop w:val="0"/>
      <w:marBottom w:val="0"/>
      <w:divBdr>
        <w:top w:val="none" w:sz="0" w:space="0" w:color="auto"/>
        <w:left w:val="none" w:sz="0" w:space="0" w:color="auto"/>
        <w:bottom w:val="none" w:sz="0" w:space="0" w:color="auto"/>
        <w:right w:val="none" w:sz="0" w:space="0" w:color="auto"/>
      </w:divBdr>
    </w:div>
    <w:div w:id="478546054">
      <w:marLeft w:val="0"/>
      <w:marRight w:val="0"/>
      <w:marTop w:val="0"/>
      <w:marBottom w:val="0"/>
      <w:divBdr>
        <w:top w:val="none" w:sz="0" w:space="0" w:color="auto"/>
        <w:left w:val="none" w:sz="0" w:space="0" w:color="auto"/>
        <w:bottom w:val="none" w:sz="0" w:space="0" w:color="auto"/>
        <w:right w:val="none" w:sz="0" w:space="0" w:color="auto"/>
      </w:divBdr>
    </w:div>
    <w:div w:id="478546055">
      <w:marLeft w:val="0"/>
      <w:marRight w:val="0"/>
      <w:marTop w:val="0"/>
      <w:marBottom w:val="0"/>
      <w:divBdr>
        <w:top w:val="none" w:sz="0" w:space="0" w:color="auto"/>
        <w:left w:val="none" w:sz="0" w:space="0" w:color="auto"/>
        <w:bottom w:val="none" w:sz="0" w:space="0" w:color="auto"/>
        <w:right w:val="none" w:sz="0" w:space="0" w:color="auto"/>
      </w:divBdr>
    </w:div>
    <w:div w:id="478546056">
      <w:marLeft w:val="0"/>
      <w:marRight w:val="0"/>
      <w:marTop w:val="0"/>
      <w:marBottom w:val="0"/>
      <w:divBdr>
        <w:top w:val="none" w:sz="0" w:space="0" w:color="auto"/>
        <w:left w:val="none" w:sz="0" w:space="0" w:color="auto"/>
        <w:bottom w:val="none" w:sz="0" w:space="0" w:color="auto"/>
        <w:right w:val="none" w:sz="0" w:space="0" w:color="auto"/>
      </w:divBdr>
    </w:div>
    <w:div w:id="478546057">
      <w:marLeft w:val="0"/>
      <w:marRight w:val="0"/>
      <w:marTop w:val="0"/>
      <w:marBottom w:val="0"/>
      <w:divBdr>
        <w:top w:val="none" w:sz="0" w:space="0" w:color="auto"/>
        <w:left w:val="none" w:sz="0" w:space="0" w:color="auto"/>
        <w:bottom w:val="none" w:sz="0" w:space="0" w:color="auto"/>
        <w:right w:val="none" w:sz="0" w:space="0" w:color="auto"/>
      </w:divBdr>
    </w:div>
    <w:div w:id="478546058">
      <w:marLeft w:val="0"/>
      <w:marRight w:val="0"/>
      <w:marTop w:val="0"/>
      <w:marBottom w:val="0"/>
      <w:divBdr>
        <w:top w:val="none" w:sz="0" w:space="0" w:color="auto"/>
        <w:left w:val="none" w:sz="0" w:space="0" w:color="auto"/>
        <w:bottom w:val="none" w:sz="0" w:space="0" w:color="auto"/>
        <w:right w:val="none" w:sz="0" w:space="0" w:color="auto"/>
      </w:divBdr>
    </w:div>
    <w:div w:id="47854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1003</TotalTime>
  <Pages>16</Pages>
  <Words>1034</Words>
  <Characters>5894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142</cp:revision>
  <dcterms:created xsi:type="dcterms:W3CDTF">2017-01-13T03:22:00Z</dcterms:created>
  <dcterms:modified xsi:type="dcterms:W3CDTF">2019-02-15T09:25:00Z</dcterms:modified>
</cp:coreProperties>
</file>